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34F7" w14:textId="77777777" w:rsidR="00C94FEB" w:rsidRPr="00C94FEB" w:rsidRDefault="00C94FEB" w:rsidP="00C94FEB">
      <w:r w:rsidRPr="00C94FEB">
        <w:rPr>
          <w:b/>
          <w:bCs/>
        </w:rPr>
        <w:t>NOTAT TIL HVIDBOG</w:t>
      </w:r>
      <w:r w:rsidRPr="00C94FEB">
        <w:br/>
      </w:r>
      <w:r w:rsidRPr="00C94FEB">
        <w:rPr>
          <w:b/>
          <w:bCs/>
        </w:rPr>
        <w:t>Vedrørende betydningen af nøglepersonfunktionen i Randers Kommune i arbejdet med de handicapkompenserende ordninger</w:t>
      </w:r>
    </w:p>
    <w:p w14:paraId="1B648DF2" w14:textId="77777777" w:rsidR="00C94FEB" w:rsidRPr="00C94FEB" w:rsidRDefault="00C94FEB" w:rsidP="00C94FEB">
      <w:r w:rsidRPr="00C94FEB">
        <w:rPr>
          <w:b/>
          <w:bCs/>
        </w:rPr>
        <w:t>Afsender:</w:t>
      </w:r>
      <w:r w:rsidRPr="00C94FEB">
        <w:t xml:space="preserve"> Dan Sonne Hansen, Nøgleperson / Handicapkonsulent, Randers Kommune</w:t>
      </w:r>
      <w:r w:rsidRPr="00C94FEB">
        <w:br/>
      </w:r>
      <w:r w:rsidRPr="00C94FEB">
        <w:rPr>
          <w:b/>
          <w:bCs/>
        </w:rPr>
        <w:t>Modtager:</w:t>
      </w:r>
      <w:r w:rsidRPr="00C94FEB">
        <w:t xml:space="preserve"> Kommunaldirektør, Randers Kommune</w:t>
      </w:r>
      <w:r w:rsidRPr="00C94FEB">
        <w:br/>
      </w:r>
      <w:r w:rsidRPr="00C94FEB">
        <w:rPr>
          <w:b/>
          <w:bCs/>
        </w:rPr>
        <w:t>Dato:</w:t>
      </w:r>
      <w:r w:rsidRPr="00C94FEB">
        <w:t xml:space="preserve"> 5. juni 2025</w:t>
      </w:r>
    </w:p>
    <w:p w14:paraId="7BA648D0" w14:textId="77777777" w:rsidR="00C94FEB" w:rsidRPr="00C94FEB" w:rsidRDefault="00000000" w:rsidP="00C94FEB">
      <w:r>
        <w:pict w14:anchorId="40D70715">
          <v:rect id="_x0000_i1025" style="width:0;height:1.5pt" o:hralign="center" o:hrstd="t" o:hr="t" fillcolor="#a0a0a0" stroked="f"/>
        </w:pict>
      </w:r>
    </w:p>
    <w:p w14:paraId="354453D7" w14:textId="44FE1844" w:rsidR="00C94FEB" w:rsidRPr="00C94FEB" w:rsidRDefault="00C94FEB" w:rsidP="00C94FEB">
      <w:pPr>
        <w:rPr>
          <w:b/>
          <w:bCs/>
        </w:rPr>
      </w:pPr>
      <w:r w:rsidRPr="00C94FEB">
        <w:rPr>
          <w:b/>
          <w:bCs/>
        </w:rPr>
        <w:t>Formål og baggrund</w:t>
      </w:r>
    </w:p>
    <w:p w14:paraId="195137C0" w14:textId="77777777" w:rsidR="00C94FEB" w:rsidRPr="00C94FEB" w:rsidRDefault="00C94FEB" w:rsidP="00C94FEB">
      <w:r w:rsidRPr="00C94FEB">
        <w:t xml:space="preserve">Dette notat har til hensigt at redegøre for den strategiske, faglige og økonomiske betydning af nøglepersonfunktionen i Randers Kommunes arbejde med handicapkompenserende ordninger. Med afsæt i </w:t>
      </w:r>
      <w:r w:rsidRPr="00C94FEB">
        <w:rPr>
          <w:i/>
          <w:iCs/>
        </w:rPr>
        <w:t>Lov om kompensation til handicappede i erhverv</w:t>
      </w:r>
      <w:r w:rsidRPr="00C94FEB">
        <w:t xml:space="preserve"> (LBK nr. 727 af 07/06/2023) samt kommunens praksiserfaringer belyses, hvordan en specialiseret, systematisk og rettidigt anvendt nøglepersonfunktion er afgørende for, at borgere med funktionsnedsættelser får lige adgang til arbejdsmarkedet, samt hvordan denne funktion understøtter kommunens sociale ansvar og økonomiske bæredygtighed.</w:t>
      </w:r>
    </w:p>
    <w:p w14:paraId="5BD46FA7" w14:textId="77777777" w:rsidR="00C94FEB" w:rsidRPr="00C94FEB" w:rsidRDefault="00C94FEB" w:rsidP="00C94FEB">
      <w:r w:rsidRPr="00C94FEB">
        <w:t>Nøglepersonen opererer på tværs af beskæftigelsesområdet med en høj grad af specialisering, der sikrer korrekt implementering af lovgivningen, helhedsorienterede løsninger og effektiv udmøntning af statslige refusionsmuligheder.</w:t>
      </w:r>
    </w:p>
    <w:p w14:paraId="7FCC4EA1" w14:textId="77777777" w:rsidR="00C94FEB" w:rsidRPr="00C94FEB" w:rsidRDefault="00C94FEB" w:rsidP="00C94FEB">
      <w:pPr>
        <w:rPr>
          <w:b/>
          <w:bCs/>
        </w:rPr>
      </w:pPr>
      <w:proofErr w:type="spellStart"/>
      <w:r w:rsidRPr="00C94FEB">
        <w:rPr>
          <w:b/>
          <w:bCs/>
        </w:rPr>
        <w:t>Lovgrundlagens</w:t>
      </w:r>
      <w:proofErr w:type="spellEnd"/>
      <w:r w:rsidRPr="00C94FEB">
        <w:rPr>
          <w:b/>
          <w:bCs/>
        </w:rPr>
        <w:t xml:space="preserve"> hovedprincipper:</w:t>
      </w:r>
    </w:p>
    <w:p w14:paraId="5BF16515" w14:textId="77777777" w:rsidR="00C94FEB" w:rsidRPr="00C94FEB" w:rsidRDefault="00C94FEB" w:rsidP="00C94FEB">
      <w:r w:rsidRPr="00C94FEB">
        <w:rPr>
          <w:b/>
          <w:bCs/>
        </w:rPr>
        <w:t>§ 1 – Lovens formål:</w:t>
      </w:r>
      <w:r w:rsidRPr="00C94FEB">
        <w:br/>
        <w:t>At fremme beskæftigelse og fastholdelse af personer med handicap ved at yde støtte og kompensation, så de opnår lige adgang til arbejdsmarkedet.</w:t>
      </w:r>
    </w:p>
    <w:p w14:paraId="56BFB45D" w14:textId="77777777" w:rsidR="00C94FEB" w:rsidRPr="00C94FEB" w:rsidRDefault="00C94FEB" w:rsidP="00C94FEB">
      <w:r w:rsidRPr="00C94FEB">
        <w:rPr>
          <w:b/>
          <w:bCs/>
        </w:rPr>
        <w:t>§ 2 – Målgruppe:</w:t>
      </w:r>
      <w:r w:rsidRPr="00C94FEB">
        <w:br/>
        <w:t>Personer med varige fysiske, psykiske, sensoriske eller kognitive funktionsnedsættelser, som kræver særlig støtte for at kunne opnå, fastholde eller gennemføre uddannelse eller beskæftigelse.</w:t>
      </w:r>
    </w:p>
    <w:p w14:paraId="1377368B" w14:textId="77777777" w:rsidR="00C94FEB" w:rsidRPr="00C94FEB" w:rsidRDefault="00000000" w:rsidP="00C94FEB">
      <w:r>
        <w:pict w14:anchorId="14377FE8">
          <v:rect id="_x0000_i1026" style="width:0;height:1.5pt" o:hralign="center" o:hrstd="t" o:hr="t" fillcolor="#a0a0a0" stroked="f"/>
        </w:pict>
      </w:r>
    </w:p>
    <w:p w14:paraId="5F743568" w14:textId="66406CEA" w:rsidR="00C94FEB" w:rsidRPr="00C94FEB" w:rsidRDefault="00C94FEB" w:rsidP="00C94FEB">
      <w:pPr>
        <w:rPr>
          <w:b/>
          <w:bCs/>
        </w:rPr>
      </w:pPr>
      <w:r w:rsidRPr="00C94FEB">
        <w:rPr>
          <w:b/>
          <w:bCs/>
        </w:rPr>
        <w:t>Nøglepersonfunktionens indhold og opgaver</w:t>
      </w:r>
    </w:p>
    <w:p w14:paraId="0831B87E" w14:textId="77777777" w:rsidR="00C94FEB" w:rsidRPr="00C94FEB" w:rsidRDefault="00C94FEB" w:rsidP="00C94FEB">
      <w:r w:rsidRPr="00C94FEB">
        <w:t>I Randers Kommune varetager nøglepersonen/handicapkonsulenten følgende opgaver:</w:t>
      </w:r>
    </w:p>
    <w:p w14:paraId="767F67DA" w14:textId="77777777" w:rsidR="00C94FEB" w:rsidRPr="00C94FEB" w:rsidRDefault="00C94FEB" w:rsidP="00C94FEB">
      <w:pPr>
        <w:numPr>
          <w:ilvl w:val="0"/>
          <w:numId w:val="3"/>
        </w:numPr>
      </w:pPr>
      <w:r w:rsidRPr="00C94FEB">
        <w:rPr>
          <w:b/>
          <w:bCs/>
        </w:rPr>
        <w:t>Rådgivning af borgere</w:t>
      </w:r>
      <w:r w:rsidRPr="00C94FEB">
        <w:t xml:space="preserve"> om rettigheder og muligheder under kompensationsloven.</w:t>
      </w:r>
    </w:p>
    <w:p w14:paraId="10C00B3D" w14:textId="77777777" w:rsidR="00C94FEB" w:rsidRPr="00C94FEB" w:rsidRDefault="00C94FEB" w:rsidP="00C94FEB">
      <w:pPr>
        <w:numPr>
          <w:ilvl w:val="0"/>
          <w:numId w:val="3"/>
        </w:numPr>
      </w:pPr>
      <w:r w:rsidRPr="00C94FEB">
        <w:rPr>
          <w:b/>
          <w:bCs/>
        </w:rPr>
        <w:t>Behandling af ansøgninger</w:t>
      </w:r>
      <w:r w:rsidRPr="00C94FEB">
        <w:t xml:space="preserve"> vedrørende:</w:t>
      </w:r>
    </w:p>
    <w:p w14:paraId="327BCC26" w14:textId="77777777" w:rsidR="00C94FEB" w:rsidRPr="00C94FEB" w:rsidRDefault="00C94FEB" w:rsidP="00C94FEB">
      <w:pPr>
        <w:numPr>
          <w:ilvl w:val="1"/>
          <w:numId w:val="3"/>
        </w:numPr>
      </w:pPr>
      <w:r w:rsidRPr="00C94FEB">
        <w:t>Arbejdsredskaber, hjælpemidler og arbejdspladsindretning (§ 4)</w:t>
      </w:r>
    </w:p>
    <w:p w14:paraId="52538EFE" w14:textId="77777777" w:rsidR="00C94FEB" w:rsidRPr="00C94FEB" w:rsidRDefault="00C94FEB" w:rsidP="00C94FEB">
      <w:pPr>
        <w:numPr>
          <w:ilvl w:val="1"/>
          <w:numId w:val="3"/>
        </w:numPr>
      </w:pPr>
      <w:r w:rsidRPr="00C94FEB">
        <w:t>Personlig assistance (§ 5)</w:t>
      </w:r>
    </w:p>
    <w:p w14:paraId="6AA18129" w14:textId="77777777" w:rsidR="00C94FEB" w:rsidRPr="00C94FEB" w:rsidRDefault="00C94FEB" w:rsidP="00C94FEB">
      <w:pPr>
        <w:numPr>
          <w:ilvl w:val="1"/>
          <w:numId w:val="3"/>
        </w:numPr>
      </w:pPr>
      <w:r w:rsidRPr="00C94FEB">
        <w:t>Tegnsprogstolkning (§ 7)</w:t>
      </w:r>
    </w:p>
    <w:p w14:paraId="50E4E865" w14:textId="77777777" w:rsidR="00C94FEB" w:rsidRPr="00C94FEB" w:rsidRDefault="00C94FEB" w:rsidP="00C94FEB">
      <w:pPr>
        <w:numPr>
          <w:ilvl w:val="1"/>
          <w:numId w:val="3"/>
        </w:numPr>
      </w:pPr>
      <w:r w:rsidRPr="00C94FEB">
        <w:t>Fortrinsadgang (§ 8)</w:t>
      </w:r>
    </w:p>
    <w:p w14:paraId="78B4571C" w14:textId="77777777" w:rsidR="00C94FEB" w:rsidRPr="00C94FEB" w:rsidRDefault="00C94FEB" w:rsidP="00C94FEB">
      <w:pPr>
        <w:numPr>
          <w:ilvl w:val="1"/>
          <w:numId w:val="3"/>
        </w:numPr>
      </w:pPr>
      <w:r w:rsidRPr="00C94FEB">
        <w:t>Isbryderordningen (§ 10)</w:t>
      </w:r>
    </w:p>
    <w:p w14:paraId="397EC702" w14:textId="77777777" w:rsidR="00C94FEB" w:rsidRPr="00C94FEB" w:rsidRDefault="00C94FEB" w:rsidP="00C94FEB">
      <w:pPr>
        <w:numPr>
          <w:ilvl w:val="1"/>
          <w:numId w:val="3"/>
        </w:numPr>
      </w:pPr>
      <w:r w:rsidRPr="00C94FEB">
        <w:t>Mentorordning (LAB kap. 26)</w:t>
      </w:r>
    </w:p>
    <w:p w14:paraId="4FA558B0" w14:textId="77777777" w:rsidR="00C94FEB" w:rsidRPr="00C94FEB" w:rsidRDefault="00C94FEB" w:rsidP="00C94FEB">
      <w:pPr>
        <w:numPr>
          <w:ilvl w:val="0"/>
          <w:numId w:val="3"/>
        </w:numPr>
      </w:pPr>
      <w:r w:rsidRPr="00C94FEB">
        <w:rPr>
          <w:b/>
          <w:bCs/>
        </w:rPr>
        <w:lastRenderedPageBreak/>
        <w:t>Formidling af viden</w:t>
      </w:r>
      <w:r w:rsidRPr="00C94FEB">
        <w:t xml:space="preserve"> til arbejdsgivere, faglige aktører og uddannelsesinstitutioner.</w:t>
      </w:r>
    </w:p>
    <w:p w14:paraId="15484449" w14:textId="77777777" w:rsidR="00C94FEB" w:rsidRPr="00C94FEB" w:rsidRDefault="00C94FEB" w:rsidP="00C94FEB">
      <w:pPr>
        <w:numPr>
          <w:ilvl w:val="0"/>
          <w:numId w:val="3"/>
        </w:numPr>
      </w:pPr>
      <w:r w:rsidRPr="00C94FEB">
        <w:rPr>
          <w:b/>
          <w:bCs/>
        </w:rPr>
        <w:t>Faglig sparring</w:t>
      </w:r>
      <w:r w:rsidRPr="00C94FEB">
        <w:t xml:space="preserve"> til sagsbehandlere, jobkonsulenter og samarbejdspartnere.</w:t>
      </w:r>
    </w:p>
    <w:p w14:paraId="10707106" w14:textId="77777777" w:rsidR="00C94FEB" w:rsidRPr="00C94FEB" w:rsidRDefault="00C94FEB" w:rsidP="00C94FEB">
      <w:pPr>
        <w:numPr>
          <w:ilvl w:val="0"/>
          <w:numId w:val="3"/>
        </w:numPr>
      </w:pPr>
      <w:r w:rsidRPr="00C94FEB">
        <w:rPr>
          <w:b/>
          <w:bCs/>
        </w:rPr>
        <w:t>Tværfaglig koordinering</w:t>
      </w:r>
      <w:r w:rsidRPr="00C94FEB">
        <w:t xml:space="preserve"> med virksomheder, jobcentre, uddannelsesinstitutioner og eksterne leverandører.</w:t>
      </w:r>
    </w:p>
    <w:p w14:paraId="44ACB81D" w14:textId="77777777" w:rsidR="00C94FEB" w:rsidRPr="00C94FEB" w:rsidRDefault="00C94FEB" w:rsidP="00C94FEB">
      <w:pPr>
        <w:numPr>
          <w:ilvl w:val="0"/>
          <w:numId w:val="3"/>
        </w:numPr>
      </w:pPr>
      <w:r w:rsidRPr="00C94FEB">
        <w:rPr>
          <w:b/>
          <w:bCs/>
        </w:rPr>
        <w:t>Opdatering af viden</w:t>
      </w:r>
      <w:r w:rsidRPr="00C94FEB">
        <w:t xml:space="preserve"> om lovændringer, principafgørelser og udvikling i praksis.</w:t>
      </w:r>
    </w:p>
    <w:p w14:paraId="31200E92" w14:textId="77777777" w:rsidR="00C94FEB" w:rsidRPr="00C94FEB" w:rsidRDefault="00000000" w:rsidP="00C94FEB">
      <w:r>
        <w:pict w14:anchorId="3032A180">
          <v:rect id="_x0000_i1027" style="width:0;height:1.5pt" o:hralign="center" o:hrstd="t" o:hr="t" fillcolor="#a0a0a0" stroked="f"/>
        </w:pict>
      </w:r>
    </w:p>
    <w:p w14:paraId="35DBCF4E" w14:textId="368136ED" w:rsidR="00C94FEB" w:rsidRPr="00C94FEB" w:rsidRDefault="00C94FEB" w:rsidP="00C94FEB">
      <w:pPr>
        <w:rPr>
          <w:b/>
          <w:bCs/>
        </w:rPr>
      </w:pPr>
      <w:r w:rsidRPr="00C94FEB">
        <w:rPr>
          <w:b/>
          <w:bCs/>
        </w:rPr>
        <w:t>Strategisk betydning af nøglepersonfunktionen</w:t>
      </w:r>
    </w:p>
    <w:p w14:paraId="58FB39E5" w14:textId="77777777" w:rsidR="00C94FEB" w:rsidRPr="00E16593" w:rsidRDefault="00C94FEB" w:rsidP="00C94FEB">
      <w:r w:rsidRPr="00E16593">
        <w:t xml:space="preserve">Funktionen som nøgleperson er </w:t>
      </w:r>
      <w:r w:rsidRPr="00E16593">
        <w:rPr>
          <w:b/>
          <w:bCs/>
        </w:rPr>
        <w:t>afgørende for, at kommunen opretholder en høj faglig kvalitet og rettidighed i sagsbehandlingen</w:t>
      </w:r>
      <w:r w:rsidRPr="00E16593">
        <w:t xml:space="preserve"> af de kompenserende ordninger. Den specialiserede viden og tværgående koordinering, som rollen indebærer, kan ikke erstattes af generalistfunktioner, uden at det går ud over borgerens retssikkerhed og mulighed for effektiv støtte.</w:t>
      </w:r>
    </w:p>
    <w:p w14:paraId="19B9FAD5" w14:textId="77777777" w:rsidR="00C94FEB" w:rsidRPr="00C94FEB" w:rsidRDefault="00C94FEB" w:rsidP="00C94FEB">
      <w:pPr>
        <w:numPr>
          <w:ilvl w:val="0"/>
          <w:numId w:val="4"/>
        </w:numPr>
      </w:pPr>
      <w:r w:rsidRPr="00C94FEB">
        <w:rPr>
          <w:b/>
          <w:bCs/>
        </w:rPr>
        <w:t>Rettidighed og lovmedholdelighed</w:t>
      </w:r>
      <w:r w:rsidRPr="00C94FEB">
        <w:t xml:space="preserve"> i sagsbehandlingen.</w:t>
      </w:r>
    </w:p>
    <w:p w14:paraId="0ED883BD" w14:textId="77777777" w:rsidR="00C94FEB" w:rsidRPr="00C94FEB" w:rsidRDefault="00C94FEB" w:rsidP="00C94FEB">
      <w:pPr>
        <w:numPr>
          <w:ilvl w:val="0"/>
          <w:numId w:val="4"/>
        </w:numPr>
      </w:pPr>
      <w:r w:rsidRPr="00C94FEB">
        <w:rPr>
          <w:b/>
          <w:bCs/>
        </w:rPr>
        <w:t>Individuelt tilpasset indsats</w:t>
      </w:r>
      <w:r w:rsidRPr="00C94FEB">
        <w:t>, der tager udgangspunkt i borgerens funktionsevne og beskæftigelsesperspektiv.</w:t>
      </w:r>
    </w:p>
    <w:p w14:paraId="2342B2A4" w14:textId="77777777" w:rsidR="00C94FEB" w:rsidRPr="00C94FEB" w:rsidRDefault="00C94FEB" w:rsidP="00C94FEB">
      <w:pPr>
        <w:numPr>
          <w:ilvl w:val="0"/>
          <w:numId w:val="4"/>
        </w:numPr>
      </w:pPr>
      <w:r w:rsidRPr="00C94FEB">
        <w:rPr>
          <w:b/>
          <w:bCs/>
        </w:rPr>
        <w:t>Støtte til arbejdsgivere</w:t>
      </w:r>
      <w:r w:rsidRPr="00C94FEB">
        <w:t>, som ønsker at fastholde eller ansætte medarbejdere med handicap.</w:t>
      </w:r>
    </w:p>
    <w:p w14:paraId="50CC1445" w14:textId="77777777" w:rsidR="00C94FEB" w:rsidRPr="00C94FEB" w:rsidRDefault="00C94FEB" w:rsidP="00C94FEB">
      <w:pPr>
        <w:numPr>
          <w:ilvl w:val="0"/>
          <w:numId w:val="4"/>
        </w:numPr>
      </w:pPr>
      <w:r w:rsidRPr="00C94FEB">
        <w:rPr>
          <w:b/>
          <w:bCs/>
        </w:rPr>
        <w:t>Kvalificeret sparring internt og eksternt</w:t>
      </w:r>
      <w:r w:rsidRPr="00C94FEB">
        <w:t>, hvilket øger kvaliteten i de samlede borgerforløb.</w:t>
      </w:r>
    </w:p>
    <w:p w14:paraId="40327AFA" w14:textId="77777777" w:rsidR="00C94FEB" w:rsidRPr="00C94FEB" w:rsidRDefault="00C94FEB" w:rsidP="00C94FEB">
      <w:r w:rsidRPr="00C94FEB">
        <w:t>Funktionen kan ikke varetages af generalister uden tab af faglig dybde og effekt.</w:t>
      </w:r>
    </w:p>
    <w:p w14:paraId="6BA48F7A" w14:textId="77777777" w:rsidR="00C94FEB" w:rsidRPr="00C94FEB" w:rsidRDefault="00000000" w:rsidP="00C94FEB">
      <w:r>
        <w:pict w14:anchorId="216A8A83">
          <v:rect id="_x0000_i1028" style="width:0;height:1.5pt" o:hralign="center" o:hrstd="t" o:hr="t" fillcolor="#a0a0a0" stroked="f"/>
        </w:pict>
      </w:r>
    </w:p>
    <w:p w14:paraId="2321202D" w14:textId="57647DF1" w:rsidR="00C94FEB" w:rsidRPr="00C94FEB" w:rsidRDefault="00C94FEB" w:rsidP="00C94FEB">
      <w:pPr>
        <w:rPr>
          <w:b/>
          <w:bCs/>
        </w:rPr>
      </w:pPr>
      <w:r w:rsidRPr="00C94FEB">
        <w:rPr>
          <w:b/>
          <w:bCs/>
        </w:rPr>
        <w:t>Samfundsøkonomisk og kommunal gevinst ved en aktiv indsats</w:t>
      </w:r>
    </w:p>
    <w:p w14:paraId="48DC24B5" w14:textId="77777777" w:rsidR="00C94FEB" w:rsidRPr="00C94FEB" w:rsidRDefault="00C94FEB" w:rsidP="00C94FEB">
      <w:r w:rsidRPr="00C94FEB">
        <w:t>En specialiseret og rettidig anvendelse af de handicapkompenserende ordninger medfører dokumenterede gevinster:</w:t>
      </w:r>
    </w:p>
    <w:p w14:paraId="4078FCBC" w14:textId="77777777" w:rsidR="00C94FEB" w:rsidRPr="00C94FEB" w:rsidRDefault="00C94FEB" w:rsidP="00C94FEB">
      <w:pPr>
        <w:rPr>
          <w:b/>
          <w:bCs/>
        </w:rPr>
      </w:pPr>
      <w:r w:rsidRPr="00C94FEB">
        <w:rPr>
          <w:b/>
          <w:bCs/>
        </w:rPr>
        <w:t>A. Fastholdelse i beskæftigelse</w:t>
      </w:r>
    </w:p>
    <w:p w14:paraId="7C848EFC" w14:textId="77777777" w:rsidR="00C94FEB" w:rsidRPr="00C94FEB" w:rsidRDefault="00C94FEB" w:rsidP="00C94FEB">
      <w:r w:rsidRPr="00C94FEB">
        <w:t>Det er væsentligt billigere for kommunen at støtte en borger i beskæftigelse end at finansiere langvarig offentlig forsørgelse. Fx kan et hjælpemiddel til 20.000 kr. forhindre udgifter til sygedagpenge og førtidspension, der ellers kan overstige 250.000 kr. årligt.</w:t>
      </w:r>
    </w:p>
    <w:p w14:paraId="046E5FD3" w14:textId="77777777" w:rsidR="00C94FEB" w:rsidRPr="00C94FEB" w:rsidRDefault="00C94FEB" w:rsidP="00C94FEB">
      <w:pPr>
        <w:rPr>
          <w:b/>
          <w:bCs/>
        </w:rPr>
      </w:pPr>
      <w:r w:rsidRPr="00C94FEB">
        <w:rPr>
          <w:b/>
          <w:bCs/>
        </w:rPr>
        <w:t>B. Overgang fra ledighed til beskæftigelse</w:t>
      </w:r>
    </w:p>
    <w:p w14:paraId="226A7A51" w14:textId="77777777" w:rsidR="00C94FEB" w:rsidRPr="00E16593" w:rsidRDefault="00C94FEB" w:rsidP="00C94FEB">
      <w:r w:rsidRPr="00E16593">
        <w:t xml:space="preserve">Forskning og praksiserfaring viser, at ledige borgere med funktionsnedsættelse, som får korrekt støtte tidligt i forløbet, </w:t>
      </w:r>
      <w:r w:rsidRPr="00E16593">
        <w:rPr>
          <w:b/>
          <w:bCs/>
        </w:rPr>
        <w:t>kommer hurtigere i job</w:t>
      </w:r>
      <w:r w:rsidRPr="00E16593">
        <w:t>. En rapport fra Det Nationale Forsknings- og Analysecenter for Velfærd (VIVE, 2019) peger på, at:</w:t>
      </w:r>
    </w:p>
    <w:p w14:paraId="69E330FE" w14:textId="77777777" w:rsidR="00C94FEB" w:rsidRPr="00E16593" w:rsidRDefault="00C94FEB" w:rsidP="00C94FEB">
      <w:r w:rsidRPr="00E16593">
        <w:t>“Kompenserende ordninger og specialiseret støtte øger både sandsynligheden for job og varigheden af ansættelsen for personer med handicap.”</w:t>
      </w:r>
    </w:p>
    <w:p w14:paraId="4BDB699F" w14:textId="77777777" w:rsidR="00C94FEB" w:rsidRPr="00E16593" w:rsidRDefault="00C94FEB" w:rsidP="00C94FEB">
      <w:r w:rsidRPr="00E16593">
        <w:t>Det betyder ikke kun færre ydelser – men også øgede skatteindtægter, højere livskvalitet og styrket samfundsmæssig inklusion.</w:t>
      </w:r>
    </w:p>
    <w:p w14:paraId="36125F1A" w14:textId="77777777" w:rsidR="00C94FEB" w:rsidRPr="00E16593" w:rsidRDefault="00C94FEB" w:rsidP="00C94FEB">
      <w:pPr>
        <w:rPr>
          <w:b/>
          <w:bCs/>
        </w:rPr>
      </w:pPr>
      <w:r w:rsidRPr="00E16593">
        <w:rPr>
          <w:b/>
          <w:bCs/>
        </w:rPr>
        <w:t>C. Langsigtet effekt – færre i førtidspension</w:t>
      </w:r>
    </w:p>
    <w:p w14:paraId="79D740DC" w14:textId="77777777" w:rsidR="00C94FEB" w:rsidRDefault="00C94FEB" w:rsidP="00C94FEB">
      <w:r w:rsidRPr="00E16593">
        <w:lastRenderedPageBreak/>
        <w:t xml:space="preserve">En målrettet indsats i de tidlige faser af en borgers funktionsnedsættelse har dokumenteret effekt på, at færre ender i </w:t>
      </w:r>
      <w:r w:rsidRPr="00E16593">
        <w:rPr>
          <w:b/>
          <w:bCs/>
        </w:rPr>
        <w:t>førtidspension</w:t>
      </w:r>
      <w:r w:rsidRPr="00E16593">
        <w:t xml:space="preserve"> – hvilket både menneskeligt og økonomisk er en gevinst. Ifølge tal fra Ankestyrelsen og Beskæftigelsesministeriet er </w:t>
      </w:r>
      <w:r w:rsidRPr="00E16593">
        <w:rPr>
          <w:b/>
          <w:bCs/>
        </w:rPr>
        <w:t>førtidspension den dyreste ydelse</w:t>
      </w:r>
      <w:r w:rsidRPr="00E16593">
        <w:t>, og der er stor økonomisk effekt i at udsætte eller undgå overgangen hertil.</w:t>
      </w:r>
    </w:p>
    <w:p w14:paraId="556BF956" w14:textId="77777777" w:rsidR="00C94FEB" w:rsidRPr="00C94FEB" w:rsidRDefault="00000000" w:rsidP="00C94FEB">
      <w:r>
        <w:pict w14:anchorId="0F50835B">
          <v:rect id="_x0000_i1029" style="width:0;height:1.5pt" o:hralign="center" o:hrstd="t" o:hr="t" fillcolor="#a0a0a0" stroked="f"/>
        </w:pict>
      </w:r>
    </w:p>
    <w:p w14:paraId="1CF64751" w14:textId="20B1F7E5" w:rsidR="007A0299" w:rsidRPr="00673A53" w:rsidRDefault="007A0299" w:rsidP="007A0299">
      <w:r w:rsidRPr="00673A53">
        <w:t xml:space="preserve">Et aktuelt eksempel er </w:t>
      </w:r>
      <w:r w:rsidR="00FC78C6">
        <w:t>[f</w:t>
      </w:r>
      <w:r w:rsidR="00FC78C6" w:rsidRPr="00FC78C6">
        <w:t>ølsom personoplysning slettet</w:t>
      </w:r>
      <w:r w:rsidR="00FC78C6">
        <w:t>]</w:t>
      </w:r>
      <w:r w:rsidRPr="00673A53">
        <w:t xml:space="preserve">. Der er foretaget en </w:t>
      </w:r>
      <w:r w:rsidRPr="00673A53">
        <w:rPr>
          <w:b/>
          <w:bCs/>
        </w:rPr>
        <w:t>gros benefit-analyse</w:t>
      </w:r>
      <w:r w:rsidRPr="00673A53">
        <w:t xml:space="preserve"> med afsæt i </w:t>
      </w:r>
      <w:r w:rsidRPr="00673A53">
        <w:rPr>
          <w:b/>
          <w:bCs/>
        </w:rPr>
        <w:t>Lov om kompensation til handicappede i erhverv, § 4 (hjælpemidler og arbejdsredskaber)</w:t>
      </w:r>
      <w:r w:rsidRPr="00673A53">
        <w:t>.</w:t>
      </w:r>
    </w:p>
    <w:p w14:paraId="2F1ABA54" w14:textId="63E11068" w:rsidR="007A0299" w:rsidRPr="00673A53" w:rsidRDefault="007A0299" w:rsidP="007A0299">
      <w:pPr>
        <w:rPr>
          <w:b/>
          <w:bCs/>
        </w:rPr>
      </w:pPr>
      <w:r w:rsidRPr="00673A53">
        <w:rPr>
          <w:b/>
          <w:bCs/>
        </w:rPr>
        <w:t xml:space="preserve">Konkret case: </w:t>
      </w:r>
      <w:r w:rsidR="00FC78C6">
        <w:t>[</w:t>
      </w:r>
      <w:r w:rsidR="00FC78C6" w:rsidRPr="00FC78C6">
        <w:t>Følsom personoplysning slettet</w:t>
      </w:r>
      <w:r w:rsidR="00FC78C6">
        <w:t>]</w:t>
      </w:r>
      <w:r w:rsidR="00FC78C6">
        <w:t xml:space="preserve"> </w:t>
      </w:r>
      <w:r w:rsidRPr="00673A53">
        <w:rPr>
          <w:b/>
          <w:bCs/>
        </w:rPr>
        <w:t xml:space="preserve">og </w:t>
      </w:r>
      <w:proofErr w:type="spellStart"/>
      <w:r w:rsidRPr="00673A53">
        <w:rPr>
          <w:b/>
          <w:bCs/>
        </w:rPr>
        <w:t>Skelex</w:t>
      </w:r>
      <w:proofErr w:type="spellEnd"/>
      <w:r w:rsidRPr="00673A53">
        <w:rPr>
          <w:b/>
          <w:bCs/>
        </w:rPr>
        <w:t xml:space="preserve"> </w:t>
      </w:r>
      <w:proofErr w:type="spellStart"/>
      <w:r w:rsidRPr="00673A53">
        <w:rPr>
          <w:b/>
          <w:bCs/>
        </w:rPr>
        <w:t>Ironhand</w:t>
      </w:r>
      <w:proofErr w:type="spellEnd"/>
      <w:r w:rsidRPr="00673A53">
        <w:rPr>
          <w:b/>
          <w:bCs/>
        </w:rPr>
        <w:t xml:space="preserve"> Kit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3793"/>
        <w:gridCol w:w="3411"/>
      </w:tblGrid>
      <w:tr w:rsidR="00FC78C6" w:rsidRPr="00673A53" w14:paraId="1568AF95" w14:textId="77777777" w:rsidTr="00A96C18">
        <w:trPr>
          <w:tblHeader/>
          <w:tblCellSpacing w:w="15" w:type="dxa"/>
        </w:trPr>
        <w:tc>
          <w:tcPr>
            <w:tcW w:w="0" w:type="auto"/>
            <w:vAlign w:val="center"/>
            <w:hideMark/>
          </w:tcPr>
          <w:p w14:paraId="2F6B026E" w14:textId="77777777" w:rsidR="007A0299" w:rsidRPr="00673A53" w:rsidRDefault="007A0299" w:rsidP="00A96C18">
            <w:pPr>
              <w:rPr>
                <w:b/>
                <w:bCs/>
              </w:rPr>
            </w:pPr>
            <w:r w:rsidRPr="00673A53">
              <w:rPr>
                <w:b/>
                <w:bCs/>
              </w:rPr>
              <w:t>Parameter</w:t>
            </w:r>
          </w:p>
        </w:tc>
        <w:tc>
          <w:tcPr>
            <w:tcW w:w="0" w:type="auto"/>
            <w:vAlign w:val="center"/>
            <w:hideMark/>
          </w:tcPr>
          <w:p w14:paraId="37490E9A" w14:textId="77777777" w:rsidR="007A0299" w:rsidRPr="00673A53" w:rsidRDefault="007A0299" w:rsidP="00A96C18">
            <w:pPr>
              <w:rPr>
                <w:b/>
                <w:bCs/>
              </w:rPr>
            </w:pPr>
            <w:proofErr w:type="spellStart"/>
            <w:r w:rsidRPr="00673A53">
              <w:rPr>
                <w:b/>
                <w:bCs/>
              </w:rPr>
              <w:t>Skelex</w:t>
            </w:r>
            <w:proofErr w:type="spellEnd"/>
            <w:r w:rsidRPr="00673A53">
              <w:rPr>
                <w:b/>
                <w:bCs/>
              </w:rPr>
              <w:t xml:space="preserve"> </w:t>
            </w:r>
            <w:proofErr w:type="spellStart"/>
            <w:r w:rsidRPr="00673A53">
              <w:rPr>
                <w:b/>
                <w:bCs/>
              </w:rPr>
              <w:t>Ironhand</w:t>
            </w:r>
            <w:proofErr w:type="spellEnd"/>
            <w:r w:rsidRPr="00673A53">
              <w:rPr>
                <w:b/>
                <w:bCs/>
              </w:rPr>
              <w:t xml:space="preserve"> Kit (hjælpemiddel)</w:t>
            </w:r>
          </w:p>
        </w:tc>
        <w:tc>
          <w:tcPr>
            <w:tcW w:w="0" w:type="auto"/>
            <w:vAlign w:val="center"/>
            <w:hideMark/>
          </w:tcPr>
          <w:p w14:paraId="08C1FF38" w14:textId="77777777" w:rsidR="007A0299" w:rsidRPr="00673A53" w:rsidRDefault="007A0299" w:rsidP="00A96C18">
            <w:pPr>
              <w:rPr>
                <w:b/>
                <w:bCs/>
              </w:rPr>
            </w:pPr>
            <w:r w:rsidRPr="00673A53">
              <w:rPr>
                <w:b/>
                <w:bCs/>
              </w:rPr>
              <w:t>Personlig Assistance</w:t>
            </w:r>
          </w:p>
        </w:tc>
      </w:tr>
      <w:tr w:rsidR="00FC78C6" w:rsidRPr="00673A53" w14:paraId="4F0400AA" w14:textId="77777777" w:rsidTr="00A96C18">
        <w:trPr>
          <w:tblCellSpacing w:w="15" w:type="dxa"/>
        </w:trPr>
        <w:tc>
          <w:tcPr>
            <w:tcW w:w="0" w:type="auto"/>
            <w:vAlign w:val="center"/>
            <w:hideMark/>
          </w:tcPr>
          <w:p w14:paraId="6C24AF5B" w14:textId="77777777" w:rsidR="007A0299" w:rsidRPr="00673A53" w:rsidRDefault="007A0299" w:rsidP="00A96C18">
            <w:r w:rsidRPr="00673A53">
              <w:rPr>
                <w:b/>
                <w:bCs/>
              </w:rPr>
              <w:t>Pris</w:t>
            </w:r>
          </w:p>
        </w:tc>
        <w:tc>
          <w:tcPr>
            <w:tcW w:w="0" w:type="auto"/>
            <w:vAlign w:val="center"/>
            <w:hideMark/>
          </w:tcPr>
          <w:p w14:paraId="56683A28" w14:textId="77777777" w:rsidR="007A0299" w:rsidRPr="00673A53" w:rsidRDefault="007A0299" w:rsidP="00A96C18">
            <w:r w:rsidRPr="00673A53">
              <w:t>98.125 kr. (engangsudgift)</w:t>
            </w:r>
          </w:p>
        </w:tc>
        <w:tc>
          <w:tcPr>
            <w:tcW w:w="0" w:type="auto"/>
            <w:vAlign w:val="center"/>
            <w:hideMark/>
          </w:tcPr>
          <w:p w14:paraId="778BF35C" w14:textId="77777777" w:rsidR="007A0299" w:rsidRPr="00673A53" w:rsidRDefault="007A0299" w:rsidP="00A96C18">
            <w:r w:rsidRPr="00673A53">
              <w:t>62.550 kr./år (løn og følgeomkostninger)</w:t>
            </w:r>
          </w:p>
        </w:tc>
      </w:tr>
      <w:tr w:rsidR="00FC78C6" w:rsidRPr="00673A53" w14:paraId="2C1BB022" w14:textId="77777777" w:rsidTr="00A96C18">
        <w:trPr>
          <w:tblCellSpacing w:w="15" w:type="dxa"/>
        </w:trPr>
        <w:tc>
          <w:tcPr>
            <w:tcW w:w="0" w:type="auto"/>
            <w:vAlign w:val="center"/>
            <w:hideMark/>
          </w:tcPr>
          <w:p w14:paraId="679A577E" w14:textId="77777777" w:rsidR="007A0299" w:rsidRPr="00673A53" w:rsidRDefault="007A0299" w:rsidP="00A96C18">
            <w:r w:rsidRPr="00673A53">
              <w:rPr>
                <w:b/>
                <w:bCs/>
              </w:rPr>
              <w:t>Levetid (anslået)</w:t>
            </w:r>
          </w:p>
        </w:tc>
        <w:tc>
          <w:tcPr>
            <w:tcW w:w="0" w:type="auto"/>
            <w:vAlign w:val="center"/>
            <w:hideMark/>
          </w:tcPr>
          <w:p w14:paraId="271B5F88" w14:textId="77777777" w:rsidR="007A0299" w:rsidRPr="00673A53" w:rsidRDefault="007A0299" w:rsidP="00A96C18">
            <w:r w:rsidRPr="00673A53">
              <w:t>5 år</w:t>
            </w:r>
          </w:p>
        </w:tc>
        <w:tc>
          <w:tcPr>
            <w:tcW w:w="0" w:type="auto"/>
            <w:vAlign w:val="center"/>
            <w:hideMark/>
          </w:tcPr>
          <w:p w14:paraId="602CA751" w14:textId="77777777" w:rsidR="007A0299" w:rsidRPr="00673A53" w:rsidRDefault="007A0299" w:rsidP="00A96C18">
            <w:r w:rsidRPr="00673A53">
              <w:t>Løbende – så længe behovet eksisterer</w:t>
            </w:r>
          </w:p>
        </w:tc>
      </w:tr>
      <w:tr w:rsidR="00FC78C6" w:rsidRPr="00673A53" w14:paraId="06146009" w14:textId="77777777" w:rsidTr="00A96C18">
        <w:trPr>
          <w:tblCellSpacing w:w="15" w:type="dxa"/>
        </w:trPr>
        <w:tc>
          <w:tcPr>
            <w:tcW w:w="0" w:type="auto"/>
            <w:vAlign w:val="center"/>
            <w:hideMark/>
          </w:tcPr>
          <w:p w14:paraId="3D40DCCC" w14:textId="77777777" w:rsidR="007A0299" w:rsidRPr="00673A53" w:rsidRDefault="007A0299" w:rsidP="00A96C18">
            <w:r w:rsidRPr="00673A53">
              <w:rPr>
                <w:b/>
                <w:bCs/>
              </w:rPr>
              <w:t>Funktionalitet</w:t>
            </w:r>
          </w:p>
        </w:tc>
        <w:tc>
          <w:tcPr>
            <w:tcW w:w="0" w:type="auto"/>
            <w:vAlign w:val="center"/>
            <w:hideMark/>
          </w:tcPr>
          <w:p w14:paraId="7C634CC8" w14:textId="7BA745C3" w:rsidR="007A0299" w:rsidRPr="00673A53" w:rsidRDefault="007A0299" w:rsidP="00A96C18">
            <w:r w:rsidRPr="00673A53">
              <w:t xml:space="preserve">Øger </w:t>
            </w:r>
            <w:r w:rsidR="00FC78C6">
              <w:t xml:space="preserve">[følsom personoplysning slettet] </w:t>
            </w:r>
            <w:r w:rsidRPr="00673A53">
              <w:t>selvstændighed og sikkerhed i arbejdet</w:t>
            </w:r>
          </w:p>
        </w:tc>
        <w:tc>
          <w:tcPr>
            <w:tcW w:w="0" w:type="auto"/>
            <w:vAlign w:val="center"/>
            <w:hideMark/>
          </w:tcPr>
          <w:p w14:paraId="08858A39" w14:textId="77777777" w:rsidR="007A0299" w:rsidRPr="00673A53" w:rsidRDefault="007A0299" w:rsidP="00A96C18">
            <w:r w:rsidRPr="00673A53">
              <w:t>Afhængighed af anden person til opgaveløsning</w:t>
            </w:r>
          </w:p>
        </w:tc>
      </w:tr>
      <w:tr w:rsidR="00FC78C6" w:rsidRPr="00673A53" w14:paraId="41C80F7B" w14:textId="77777777" w:rsidTr="00A96C18">
        <w:trPr>
          <w:tblCellSpacing w:w="15" w:type="dxa"/>
        </w:trPr>
        <w:tc>
          <w:tcPr>
            <w:tcW w:w="0" w:type="auto"/>
            <w:vAlign w:val="center"/>
            <w:hideMark/>
          </w:tcPr>
          <w:p w14:paraId="56B4FD01" w14:textId="77777777" w:rsidR="007A0299" w:rsidRPr="00673A53" w:rsidRDefault="007A0299" w:rsidP="00A96C18">
            <w:r w:rsidRPr="00673A53">
              <w:rPr>
                <w:b/>
                <w:bCs/>
              </w:rPr>
              <w:t>Fleksibilitet og arbejdsdeltagelse</w:t>
            </w:r>
          </w:p>
        </w:tc>
        <w:tc>
          <w:tcPr>
            <w:tcW w:w="0" w:type="auto"/>
            <w:vAlign w:val="center"/>
            <w:hideMark/>
          </w:tcPr>
          <w:p w14:paraId="785AF0FE" w14:textId="1212F626" w:rsidR="007A0299" w:rsidRPr="00673A53" w:rsidRDefault="007A0299" w:rsidP="00A96C18">
            <w:r w:rsidRPr="00673A53">
              <w:t xml:space="preserve">Høj: </w:t>
            </w:r>
            <w:r w:rsidR="00FC78C6">
              <w:t xml:space="preserve">[Følsom personoplysning slettet] </w:t>
            </w:r>
            <w:r w:rsidRPr="00673A53">
              <w:t>kan arbejde uafhængigt og effektivt</w:t>
            </w:r>
          </w:p>
        </w:tc>
        <w:tc>
          <w:tcPr>
            <w:tcW w:w="0" w:type="auto"/>
            <w:vAlign w:val="center"/>
            <w:hideMark/>
          </w:tcPr>
          <w:p w14:paraId="53DC341D" w14:textId="77777777" w:rsidR="007A0299" w:rsidRPr="00673A53" w:rsidRDefault="007A0299" w:rsidP="00A96C18">
            <w:r w:rsidRPr="00673A53">
              <w:t>Lavere: Arbejdet afhænger af assistentens tilstedeværelse</w:t>
            </w:r>
          </w:p>
        </w:tc>
      </w:tr>
      <w:tr w:rsidR="00FC78C6" w:rsidRPr="00673A53" w14:paraId="6FE1CD1F" w14:textId="77777777" w:rsidTr="00A96C18">
        <w:trPr>
          <w:tblCellSpacing w:w="15" w:type="dxa"/>
        </w:trPr>
        <w:tc>
          <w:tcPr>
            <w:tcW w:w="0" w:type="auto"/>
            <w:vAlign w:val="center"/>
            <w:hideMark/>
          </w:tcPr>
          <w:p w14:paraId="3306BE72" w14:textId="77777777" w:rsidR="007A0299" w:rsidRPr="00673A53" w:rsidRDefault="007A0299" w:rsidP="00A96C18">
            <w:r w:rsidRPr="00673A53">
              <w:rPr>
                <w:b/>
                <w:bCs/>
              </w:rPr>
              <w:t>Samfundsøkonomisk perspektiv</w:t>
            </w:r>
          </w:p>
        </w:tc>
        <w:tc>
          <w:tcPr>
            <w:tcW w:w="0" w:type="auto"/>
            <w:vAlign w:val="center"/>
            <w:hideMark/>
          </w:tcPr>
          <w:p w14:paraId="24C4F04F" w14:textId="77777777" w:rsidR="007A0299" w:rsidRPr="00673A53" w:rsidRDefault="007A0299" w:rsidP="00A96C18">
            <w:r w:rsidRPr="00673A53">
              <w:t xml:space="preserve">Potentiel besparelse over 5 år: </w:t>
            </w:r>
            <w:r w:rsidRPr="00673A53">
              <w:rPr>
                <w:b/>
                <w:bCs/>
              </w:rPr>
              <w:t>214.625 kr.</w:t>
            </w:r>
          </w:p>
        </w:tc>
        <w:tc>
          <w:tcPr>
            <w:tcW w:w="0" w:type="auto"/>
            <w:vAlign w:val="center"/>
            <w:hideMark/>
          </w:tcPr>
          <w:p w14:paraId="3243D8D2" w14:textId="77777777" w:rsidR="007A0299" w:rsidRPr="00673A53" w:rsidRDefault="007A0299" w:rsidP="00A96C18">
            <w:r w:rsidRPr="00673A53">
              <w:t>Løbende udgift uden funktionel udvikling eller selvstændighed</w:t>
            </w:r>
          </w:p>
        </w:tc>
      </w:tr>
      <w:tr w:rsidR="00FC78C6" w:rsidRPr="00673A53" w14:paraId="224C152F" w14:textId="77777777" w:rsidTr="00A96C18">
        <w:trPr>
          <w:tblCellSpacing w:w="15" w:type="dxa"/>
        </w:trPr>
        <w:tc>
          <w:tcPr>
            <w:tcW w:w="0" w:type="auto"/>
            <w:vAlign w:val="center"/>
            <w:hideMark/>
          </w:tcPr>
          <w:p w14:paraId="4487207D" w14:textId="77777777" w:rsidR="007A0299" w:rsidRPr="00673A53" w:rsidRDefault="007A0299" w:rsidP="00A96C18">
            <w:r w:rsidRPr="00673A53">
              <w:rPr>
                <w:b/>
                <w:bCs/>
              </w:rPr>
              <w:t>Effekt på beskæftigelsesevne</w:t>
            </w:r>
          </w:p>
        </w:tc>
        <w:tc>
          <w:tcPr>
            <w:tcW w:w="0" w:type="auto"/>
            <w:vAlign w:val="center"/>
            <w:hideMark/>
          </w:tcPr>
          <w:p w14:paraId="0EF62990" w14:textId="77777777" w:rsidR="007A0299" w:rsidRPr="00673A53" w:rsidRDefault="007A0299" w:rsidP="00A96C18">
            <w:r w:rsidRPr="00673A53">
              <w:t>Forøger og fastholder beskæftigelse</w:t>
            </w:r>
          </w:p>
        </w:tc>
        <w:tc>
          <w:tcPr>
            <w:tcW w:w="0" w:type="auto"/>
            <w:vAlign w:val="center"/>
            <w:hideMark/>
          </w:tcPr>
          <w:p w14:paraId="14A53E1A" w14:textId="77777777" w:rsidR="007A0299" w:rsidRPr="00673A53" w:rsidRDefault="007A0299" w:rsidP="00A96C18">
            <w:r w:rsidRPr="00673A53">
              <w:t>Vedligeholder, men forbedrer ikke nødvendigvis arbejdsevne</w:t>
            </w:r>
          </w:p>
        </w:tc>
      </w:tr>
    </w:tbl>
    <w:p w14:paraId="5BD56638" w14:textId="7EB8400C" w:rsidR="007A0299" w:rsidRPr="00673A53" w:rsidRDefault="007A0299" w:rsidP="007A0299">
      <w:r w:rsidRPr="00673A53">
        <w:rPr>
          <w:b/>
          <w:bCs/>
        </w:rPr>
        <w:t>Konklusion på casen:</w:t>
      </w:r>
      <w:r w:rsidRPr="00673A53">
        <w:br/>
      </w:r>
      <w:r w:rsidR="00FC78C6">
        <w:t>[Følsom personoplysning slettet]</w:t>
      </w:r>
      <w:r w:rsidRPr="00673A53">
        <w:t xml:space="preserve"> vil med </w:t>
      </w:r>
      <w:proofErr w:type="spellStart"/>
      <w:r>
        <w:t>Exoskelet</w:t>
      </w:r>
      <w:proofErr w:type="spellEnd"/>
      <w:r w:rsidRPr="00673A53">
        <w:t xml:space="preserve"> </w:t>
      </w:r>
      <w:proofErr w:type="spellStart"/>
      <w:r w:rsidRPr="00673A53">
        <w:t>Ironhand</w:t>
      </w:r>
      <w:proofErr w:type="spellEnd"/>
      <w:r w:rsidRPr="00673A53">
        <w:t xml:space="preserve"> Kit opnå en </w:t>
      </w:r>
      <w:r w:rsidRPr="00673A53">
        <w:rPr>
          <w:b/>
          <w:bCs/>
        </w:rPr>
        <w:t>markant styrket funktionsevne</w:t>
      </w:r>
      <w:r w:rsidRPr="00673A53">
        <w:t xml:space="preserve">, og kommunen undgår en vedvarende udgift til personlig assistance. Over en 5-årig periode estimeres en samlet </w:t>
      </w:r>
      <w:r w:rsidRPr="00673A53">
        <w:rPr>
          <w:b/>
          <w:bCs/>
        </w:rPr>
        <w:t>netto-besparelse på 214.625 kr.</w:t>
      </w:r>
      <w:r w:rsidRPr="00673A53">
        <w:t xml:space="preserve">, samtidig med at lovens formål opfyldes: </w:t>
      </w:r>
      <w:r w:rsidR="00FC78C6">
        <w:t>[Følsom personoplysning slettet]</w:t>
      </w:r>
      <w:r w:rsidRPr="00673A53">
        <w:t xml:space="preserve"> bevarer sit job og sin tilknytning til arbejdsmarkedet.</w:t>
      </w:r>
    </w:p>
    <w:p w14:paraId="24BF4A63" w14:textId="77777777" w:rsidR="007A0299" w:rsidRPr="00673A53" w:rsidRDefault="007A0299" w:rsidP="007A0299">
      <w:r w:rsidRPr="00673A53">
        <w:t xml:space="preserve">Dette illustrerer, hvordan et målrettet hjælpemiddel – bevilget med specialiseret faglig vurdering – både understøtter borgerens arbejdsevne og medfører en betydelig </w:t>
      </w:r>
      <w:r w:rsidRPr="00673A53">
        <w:rPr>
          <w:b/>
          <w:bCs/>
        </w:rPr>
        <w:t>kommunal besparelse</w:t>
      </w:r>
      <w:r w:rsidRPr="00673A53">
        <w:t xml:space="preserve">. Det er et tydeligt eksempel på, hvordan den rette brug af § 4-støtte i praksis er både </w:t>
      </w:r>
      <w:r w:rsidRPr="00673A53">
        <w:rPr>
          <w:b/>
          <w:bCs/>
        </w:rPr>
        <w:t>økonomisk, socialt og arbejdsmæssigt bæredygtig</w:t>
      </w:r>
      <w:r w:rsidRPr="00673A53">
        <w:t>.</w:t>
      </w:r>
    </w:p>
    <w:p w14:paraId="5F73D592" w14:textId="77777777" w:rsidR="00C94FEB" w:rsidRPr="00C94FEB" w:rsidRDefault="00000000" w:rsidP="00C94FEB">
      <w:r>
        <w:pict w14:anchorId="1ECC03A4">
          <v:rect id="_x0000_i1030" style="width:0;height:1.5pt" o:hralign="center" o:hrstd="t" o:hr="t" fillcolor="#a0a0a0" stroked="f"/>
        </w:pict>
      </w:r>
    </w:p>
    <w:p w14:paraId="79D52551" w14:textId="730C86BF" w:rsidR="00C94FEB" w:rsidRPr="00C94FEB" w:rsidRDefault="00C94FEB" w:rsidP="00C94FEB">
      <w:pPr>
        <w:rPr>
          <w:b/>
          <w:bCs/>
        </w:rPr>
      </w:pPr>
      <w:r w:rsidRPr="00C94FEB">
        <w:rPr>
          <w:b/>
          <w:bCs/>
        </w:rPr>
        <w:t>Refusioner og finansieringsmuligheder</w:t>
      </w:r>
    </w:p>
    <w:p w14:paraId="0105881F" w14:textId="77777777" w:rsidR="00C94FEB" w:rsidRPr="00C94FEB" w:rsidRDefault="00C94FEB" w:rsidP="00C94FEB">
      <w:pPr>
        <w:rPr>
          <w:b/>
          <w:bCs/>
        </w:rPr>
      </w:pPr>
      <w:r w:rsidRPr="00C94FEB">
        <w:rPr>
          <w:b/>
          <w:bCs/>
        </w:rPr>
        <w:t>Refusionstyper og satser: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2298"/>
        <w:gridCol w:w="4373"/>
      </w:tblGrid>
      <w:tr w:rsidR="00C94FEB" w:rsidRPr="00C94FEB" w14:paraId="601ABABA" w14:textId="77777777" w:rsidTr="00C94FEB">
        <w:trPr>
          <w:tblHeader/>
          <w:tblCellSpacing w:w="15" w:type="dxa"/>
        </w:trPr>
        <w:tc>
          <w:tcPr>
            <w:tcW w:w="0" w:type="auto"/>
            <w:vAlign w:val="center"/>
            <w:hideMark/>
          </w:tcPr>
          <w:p w14:paraId="4C43ABC2" w14:textId="77777777" w:rsidR="00C94FEB" w:rsidRPr="00C94FEB" w:rsidRDefault="00C94FEB" w:rsidP="00C94FEB">
            <w:pPr>
              <w:rPr>
                <w:b/>
                <w:bCs/>
              </w:rPr>
            </w:pPr>
            <w:r w:rsidRPr="00C94FEB">
              <w:rPr>
                <w:b/>
                <w:bCs/>
              </w:rPr>
              <w:lastRenderedPageBreak/>
              <w:t>Ordning</w:t>
            </w:r>
          </w:p>
        </w:tc>
        <w:tc>
          <w:tcPr>
            <w:tcW w:w="0" w:type="auto"/>
            <w:vAlign w:val="center"/>
            <w:hideMark/>
          </w:tcPr>
          <w:p w14:paraId="5B21088B" w14:textId="77777777" w:rsidR="00C94FEB" w:rsidRPr="00C94FEB" w:rsidRDefault="00C94FEB" w:rsidP="00C94FEB">
            <w:pPr>
              <w:rPr>
                <w:b/>
                <w:bCs/>
              </w:rPr>
            </w:pPr>
            <w:r w:rsidRPr="00C94FEB">
              <w:rPr>
                <w:b/>
                <w:bCs/>
              </w:rPr>
              <w:t>Refusionssats</w:t>
            </w:r>
          </w:p>
        </w:tc>
        <w:tc>
          <w:tcPr>
            <w:tcW w:w="0" w:type="auto"/>
            <w:vAlign w:val="center"/>
            <w:hideMark/>
          </w:tcPr>
          <w:p w14:paraId="1D51A459" w14:textId="77777777" w:rsidR="00C94FEB" w:rsidRPr="00C94FEB" w:rsidRDefault="00C94FEB" w:rsidP="00C94FEB">
            <w:pPr>
              <w:rPr>
                <w:b/>
                <w:bCs/>
              </w:rPr>
            </w:pPr>
            <w:r w:rsidRPr="00C94FEB">
              <w:rPr>
                <w:b/>
                <w:bCs/>
              </w:rPr>
              <w:t>Kommentar</w:t>
            </w:r>
          </w:p>
        </w:tc>
      </w:tr>
      <w:tr w:rsidR="00C94FEB" w:rsidRPr="00C94FEB" w14:paraId="53750A12" w14:textId="77777777" w:rsidTr="00C94FEB">
        <w:trPr>
          <w:tblCellSpacing w:w="15" w:type="dxa"/>
        </w:trPr>
        <w:tc>
          <w:tcPr>
            <w:tcW w:w="0" w:type="auto"/>
            <w:vAlign w:val="center"/>
            <w:hideMark/>
          </w:tcPr>
          <w:p w14:paraId="7C7A6DF3" w14:textId="77777777" w:rsidR="00C94FEB" w:rsidRPr="00C94FEB" w:rsidRDefault="00C94FEB" w:rsidP="00C94FEB">
            <w:r w:rsidRPr="00C94FEB">
              <w:t>Personlig assistance</w:t>
            </w:r>
          </w:p>
        </w:tc>
        <w:tc>
          <w:tcPr>
            <w:tcW w:w="0" w:type="auto"/>
            <w:vAlign w:val="center"/>
            <w:hideMark/>
          </w:tcPr>
          <w:p w14:paraId="7FD8F132" w14:textId="77777777" w:rsidR="00C94FEB" w:rsidRPr="00C94FEB" w:rsidRDefault="00C94FEB" w:rsidP="00C94FEB">
            <w:r w:rsidRPr="00C94FEB">
              <w:t>50 %</w:t>
            </w:r>
          </w:p>
        </w:tc>
        <w:tc>
          <w:tcPr>
            <w:tcW w:w="0" w:type="auto"/>
            <w:vAlign w:val="center"/>
            <w:hideMark/>
          </w:tcPr>
          <w:p w14:paraId="40A9F6FC" w14:textId="77777777" w:rsidR="00C94FEB" w:rsidRPr="00C94FEB" w:rsidRDefault="00C94FEB" w:rsidP="00C94FEB">
            <w:r w:rsidRPr="00C94FEB">
              <w:t>Inkl. alle personaleomkostninger</w:t>
            </w:r>
          </w:p>
        </w:tc>
      </w:tr>
      <w:tr w:rsidR="00C94FEB" w:rsidRPr="00C94FEB" w14:paraId="4CFF43D8" w14:textId="77777777" w:rsidTr="00C94FEB">
        <w:trPr>
          <w:tblCellSpacing w:w="15" w:type="dxa"/>
        </w:trPr>
        <w:tc>
          <w:tcPr>
            <w:tcW w:w="0" w:type="auto"/>
            <w:vAlign w:val="center"/>
            <w:hideMark/>
          </w:tcPr>
          <w:p w14:paraId="4C103D4A" w14:textId="77777777" w:rsidR="00C94FEB" w:rsidRPr="00C94FEB" w:rsidRDefault="00C94FEB" w:rsidP="00C94FEB">
            <w:r w:rsidRPr="00C94FEB">
              <w:t>Hjælpemidler og arbejdsredskaber</w:t>
            </w:r>
          </w:p>
        </w:tc>
        <w:tc>
          <w:tcPr>
            <w:tcW w:w="0" w:type="auto"/>
            <w:vAlign w:val="center"/>
            <w:hideMark/>
          </w:tcPr>
          <w:p w14:paraId="260C172D" w14:textId="77777777" w:rsidR="00C94FEB" w:rsidRPr="00C94FEB" w:rsidRDefault="00C94FEB" w:rsidP="00C94FEB">
            <w:r w:rsidRPr="00C94FEB">
              <w:t>100 %</w:t>
            </w:r>
          </w:p>
        </w:tc>
        <w:tc>
          <w:tcPr>
            <w:tcW w:w="0" w:type="auto"/>
            <w:vAlign w:val="center"/>
            <w:hideMark/>
          </w:tcPr>
          <w:p w14:paraId="38E1E447" w14:textId="77777777" w:rsidR="00C94FEB" w:rsidRPr="00C94FEB" w:rsidRDefault="00C94FEB" w:rsidP="00C94FEB">
            <w:r w:rsidRPr="00C94FEB">
              <w:t>Refusion efter kompensationslovens § 18</w:t>
            </w:r>
          </w:p>
        </w:tc>
      </w:tr>
      <w:tr w:rsidR="00C94FEB" w:rsidRPr="00C94FEB" w14:paraId="284635EF" w14:textId="77777777" w:rsidTr="00C94FEB">
        <w:trPr>
          <w:tblCellSpacing w:w="15" w:type="dxa"/>
        </w:trPr>
        <w:tc>
          <w:tcPr>
            <w:tcW w:w="0" w:type="auto"/>
            <w:vAlign w:val="center"/>
            <w:hideMark/>
          </w:tcPr>
          <w:p w14:paraId="77DA9D51" w14:textId="77777777" w:rsidR="00C94FEB" w:rsidRPr="00C94FEB" w:rsidRDefault="00C94FEB" w:rsidP="00C94FEB">
            <w:r w:rsidRPr="00C94FEB">
              <w:t>Tegnsprogstolkning</w:t>
            </w:r>
          </w:p>
        </w:tc>
        <w:tc>
          <w:tcPr>
            <w:tcW w:w="0" w:type="auto"/>
            <w:vAlign w:val="center"/>
            <w:hideMark/>
          </w:tcPr>
          <w:p w14:paraId="18D22331" w14:textId="77777777" w:rsidR="00C94FEB" w:rsidRPr="00C94FEB" w:rsidRDefault="00C94FEB" w:rsidP="00C94FEB">
            <w:r w:rsidRPr="00C94FEB">
              <w:t>100 %</w:t>
            </w:r>
          </w:p>
        </w:tc>
        <w:tc>
          <w:tcPr>
            <w:tcW w:w="0" w:type="auto"/>
            <w:vAlign w:val="center"/>
            <w:hideMark/>
          </w:tcPr>
          <w:p w14:paraId="509CBE88" w14:textId="77777777" w:rsidR="00C94FEB" w:rsidRPr="00C94FEB" w:rsidRDefault="00C94FEB" w:rsidP="00C94FEB">
            <w:r w:rsidRPr="00C94FEB">
              <w:t>Håndteres af Styrelsen via specialfunktion</w:t>
            </w:r>
          </w:p>
        </w:tc>
      </w:tr>
      <w:tr w:rsidR="00C94FEB" w:rsidRPr="00C94FEB" w14:paraId="0C70E36B" w14:textId="77777777" w:rsidTr="00C94FEB">
        <w:trPr>
          <w:tblCellSpacing w:w="15" w:type="dxa"/>
        </w:trPr>
        <w:tc>
          <w:tcPr>
            <w:tcW w:w="0" w:type="auto"/>
            <w:vAlign w:val="center"/>
            <w:hideMark/>
          </w:tcPr>
          <w:p w14:paraId="288FD317" w14:textId="77777777" w:rsidR="00C94FEB" w:rsidRPr="00C94FEB" w:rsidRDefault="00C94FEB" w:rsidP="00C94FEB">
            <w:r w:rsidRPr="00C94FEB">
              <w:t>Mentorordning (LAB § 119)</w:t>
            </w:r>
          </w:p>
        </w:tc>
        <w:tc>
          <w:tcPr>
            <w:tcW w:w="0" w:type="auto"/>
            <w:vAlign w:val="center"/>
            <w:hideMark/>
          </w:tcPr>
          <w:p w14:paraId="30A1D4DA" w14:textId="77777777" w:rsidR="00C94FEB" w:rsidRPr="00C94FEB" w:rsidRDefault="00C94FEB" w:rsidP="00C94FEB">
            <w:r w:rsidRPr="00C94FEB">
              <w:t>100 %</w:t>
            </w:r>
          </w:p>
        </w:tc>
        <w:tc>
          <w:tcPr>
            <w:tcW w:w="0" w:type="auto"/>
            <w:vAlign w:val="center"/>
            <w:hideMark/>
          </w:tcPr>
          <w:p w14:paraId="4B6F6B36" w14:textId="77777777" w:rsidR="00C94FEB" w:rsidRPr="00C94FEB" w:rsidRDefault="00C94FEB" w:rsidP="00C94FEB">
            <w:r w:rsidRPr="00C94FEB">
              <w:t>Jobcentrets mentorbudget</w:t>
            </w:r>
          </w:p>
        </w:tc>
      </w:tr>
      <w:tr w:rsidR="00C94FEB" w:rsidRPr="00C94FEB" w14:paraId="7A626992" w14:textId="77777777" w:rsidTr="00C94FEB">
        <w:trPr>
          <w:tblCellSpacing w:w="15" w:type="dxa"/>
        </w:trPr>
        <w:tc>
          <w:tcPr>
            <w:tcW w:w="0" w:type="auto"/>
            <w:vAlign w:val="center"/>
            <w:hideMark/>
          </w:tcPr>
          <w:p w14:paraId="61D12974" w14:textId="77777777" w:rsidR="00C94FEB" w:rsidRPr="00C94FEB" w:rsidRDefault="00C94FEB" w:rsidP="00C94FEB">
            <w:r w:rsidRPr="00C94FEB">
              <w:t>Isbryderordning</w:t>
            </w:r>
          </w:p>
        </w:tc>
        <w:tc>
          <w:tcPr>
            <w:tcW w:w="0" w:type="auto"/>
            <w:vAlign w:val="center"/>
            <w:hideMark/>
          </w:tcPr>
          <w:p w14:paraId="30304014" w14:textId="77777777" w:rsidR="00C94FEB" w:rsidRPr="00C94FEB" w:rsidRDefault="00C94FEB" w:rsidP="00C94FEB">
            <w:r w:rsidRPr="00C94FEB">
              <w:t>100 %</w:t>
            </w:r>
          </w:p>
        </w:tc>
        <w:tc>
          <w:tcPr>
            <w:tcW w:w="0" w:type="auto"/>
            <w:vAlign w:val="center"/>
            <w:hideMark/>
          </w:tcPr>
          <w:p w14:paraId="4616F92F" w14:textId="77777777" w:rsidR="00C94FEB" w:rsidRPr="00C94FEB" w:rsidRDefault="00C94FEB" w:rsidP="00C94FEB">
            <w:r w:rsidRPr="00C94FEB">
              <w:t>Løntilskud i op til 1 år</w:t>
            </w:r>
          </w:p>
        </w:tc>
      </w:tr>
      <w:tr w:rsidR="00C94FEB" w:rsidRPr="00C94FEB" w14:paraId="16A31AC0" w14:textId="77777777" w:rsidTr="00C94FEB">
        <w:trPr>
          <w:tblCellSpacing w:w="15" w:type="dxa"/>
        </w:trPr>
        <w:tc>
          <w:tcPr>
            <w:tcW w:w="0" w:type="auto"/>
            <w:vAlign w:val="center"/>
            <w:hideMark/>
          </w:tcPr>
          <w:p w14:paraId="2C78FCA7" w14:textId="77777777" w:rsidR="00C94FEB" w:rsidRPr="00C94FEB" w:rsidRDefault="00C94FEB" w:rsidP="00C94FEB">
            <w:r w:rsidRPr="00C94FEB">
              <w:t>Fortrinsadgang</w:t>
            </w:r>
          </w:p>
        </w:tc>
        <w:tc>
          <w:tcPr>
            <w:tcW w:w="0" w:type="auto"/>
            <w:vAlign w:val="center"/>
            <w:hideMark/>
          </w:tcPr>
          <w:p w14:paraId="38815AD3" w14:textId="77777777" w:rsidR="00C94FEB" w:rsidRPr="00C94FEB" w:rsidRDefault="00C94FEB" w:rsidP="00C94FEB">
            <w:r w:rsidRPr="00C94FEB">
              <w:t>Indirekte økonomisk effekt</w:t>
            </w:r>
          </w:p>
        </w:tc>
        <w:tc>
          <w:tcPr>
            <w:tcW w:w="0" w:type="auto"/>
            <w:vAlign w:val="center"/>
            <w:hideMark/>
          </w:tcPr>
          <w:p w14:paraId="5586276B" w14:textId="77777777" w:rsidR="00C94FEB" w:rsidRPr="00C94FEB" w:rsidRDefault="00C94FEB" w:rsidP="00C94FEB">
            <w:r w:rsidRPr="00C94FEB">
              <w:t>Øger beskæftigelsesgrad, reducerer ydelsesvarighed</w:t>
            </w:r>
          </w:p>
        </w:tc>
      </w:tr>
    </w:tbl>
    <w:p w14:paraId="0A45FA4A" w14:textId="77777777" w:rsidR="00C94FEB" w:rsidRDefault="00C94FEB" w:rsidP="00C94FEB">
      <w:r w:rsidRPr="00C94FEB">
        <w:t>Bevillinger efter kompensationsloven er ikke omfattet af den kommunale beskæftigelsesramme og finansieres særskilt, hvilket reducerer den lokale udgift.</w:t>
      </w:r>
    </w:p>
    <w:p w14:paraId="397FEC04" w14:textId="04690628" w:rsidR="007A0299" w:rsidRPr="00E16593" w:rsidRDefault="007A0299" w:rsidP="007A0299">
      <w:pPr>
        <w:rPr>
          <w:b/>
          <w:bCs/>
        </w:rPr>
      </w:pPr>
      <w:r w:rsidRPr="00E16593">
        <w:rPr>
          <w:b/>
          <w:bCs/>
        </w:rPr>
        <w:t>Nøglepersonens rolle i den samlede gevinst</w:t>
      </w:r>
    </w:p>
    <w:p w14:paraId="7B8E34FC" w14:textId="77777777" w:rsidR="007A0299" w:rsidRPr="00E16593" w:rsidRDefault="007A0299" w:rsidP="007A0299">
      <w:r w:rsidRPr="00E16593">
        <w:t xml:space="preserve">Nøglepersonens koordinering, specialiserede viden og evne til at sikre korrekt brug af lovgivningen er selve </w:t>
      </w:r>
      <w:r w:rsidRPr="00E16593">
        <w:rPr>
          <w:b/>
          <w:bCs/>
        </w:rPr>
        <w:t>forudsætningen for, at ovenstående økonomiske gevinster realiseres</w:t>
      </w:r>
      <w:r w:rsidRPr="00E16593">
        <w:t>. Uden denne funktion risikerer kommunen:</w:t>
      </w:r>
    </w:p>
    <w:p w14:paraId="19939818" w14:textId="77777777" w:rsidR="007A0299" w:rsidRPr="00E16593" w:rsidRDefault="007A0299" w:rsidP="007A0299">
      <w:pPr>
        <w:numPr>
          <w:ilvl w:val="0"/>
          <w:numId w:val="7"/>
        </w:numPr>
      </w:pPr>
      <w:r w:rsidRPr="00E16593">
        <w:t>At borgere ikke får den rette støtte – med risiko for sygemelding, udstødelse fra arbejdsmarkedet og overgange til førtidspension</w:t>
      </w:r>
    </w:p>
    <w:p w14:paraId="4E3E7D9A" w14:textId="77777777" w:rsidR="007A0299" w:rsidRPr="00E16593" w:rsidRDefault="007A0299" w:rsidP="007A0299">
      <w:pPr>
        <w:numPr>
          <w:ilvl w:val="0"/>
          <w:numId w:val="7"/>
        </w:numPr>
      </w:pPr>
      <w:r w:rsidRPr="00E16593">
        <w:t>At arbejdsgivere mangler viden og støtte til at ansætte borgere med funktionsnedsættelser</w:t>
      </w:r>
    </w:p>
    <w:p w14:paraId="74AD5AC3" w14:textId="2E58030C" w:rsidR="007A0299" w:rsidRPr="00C94FEB" w:rsidRDefault="007A0299" w:rsidP="00C94FEB">
      <w:pPr>
        <w:numPr>
          <w:ilvl w:val="0"/>
          <w:numId w:val="7"/>
        </w:numPr>
      </w:pPr>
      <w:r w:rsidRPr="00E16593">
        <w:t>At kommunen ikke får indberettet korrekt til fx jobcentre og beskæftigelsessystemer, hvilket kan føre til mistede refusioner</w:t>
      </w:r>
    </w:p>
    <w:p w14:paraId="399FA7C0" w14:textId="77777777" w:rsidR="00C94FEB" w:rsidRPr="00C94FEB" w:rsidRDefault="00000000" w:rsidP="00C94FEB">
      <w:r>
        <w:pict w14:anchorId="13B46C4B">
          <v:rect id="_x0000_i1031" style="width:0;height:1.5pt" o:hralign="center" o:hrstd="t" o:hr="t" fillcolor="#a0a0a0" stroked="f"/>
        </w:pict>
      </w:r>
    </w:p>
    <w:p w14:paraId="3CF33370" w14:textId="07E018C3" w:rsidR="00C94FEB" w:rsidRPr="00C94FEB" w:rsidRDefault="00C94FEB" w:rsidP="00C94FEB">
      <w:pPr>
        <w:rPr>
          <w:b/>
          <w:bCs/>
        </w:rPr>
      </w:pPr>
      <w:r w:rsidRPr="00C94FEB">
        <w:rPr>
          <w:b/>
          <w:bCs/>
        </w:rPr>
        <w:t>Strategiske fordele ved en aktiv kompenserende indsats</w:t>
      </w:r>
    </w:p>
    <w:p w14:paraId="59091C7D" w14:textId="77777777" w:rsidR="00C94FEB" w:rsidRPr="00C94FEB" w:rsidRDefault="00C94FEB" w:rsidP="00C94FEB">
      <w:pPr>
        <w:numPr>
          <w:ilvl w:val="0"/>
          <w:numId w:val="5"/>
        </w:numPr>
      </w:pPr>
      <w:r w:rsidRPr="00C94FEB">
        <w:t>Øget beskæftigelse og fastholdelse</w:t>
      </w:r>
    </w:p>
    <w:p w14:paraId="4D96C838" w14:textId="77777777" w:rsidR="00C94FEB" w:rsidRPr="00C94FEB" w:rsidRDefault="00C94FEB" w:rsidP="00C94FEB">
      <w:pPr>
        <w:numPr>
          <w:ilvl w:val="0"/>
          <w:numId w:val="5"/>
        </w:numPr>
      </w:pPr>
      <w:r w:rsidRPr="00C94FEB">
        <w:t>Øget skatteindtægt</w:t>
      </w:r>
    </w:p>
    <w:p w14:paraId="2C8BD9E5" w14:textId="77777777" w:rsidR="00C94FEB" w:rsidRPr="00C94FEB" w:rsidRDefault="00C94FEB" w:rsidP="00C94FEB">
      <w:pPr>
        <w:numPr>
          <w:ilvl w:val="0"/>
          <w:numId w:val="5"/>
        </w:numPr>
      </w:pPr>
      <w:r w:rsidRPr="00C94FEB">
        <w:t>Færre overførselsmodtagere</w:t>
      </w:r>
    </w:p>
    <w:p w14:paraId="0C32FFF6" w14:textId="77777777" w:rsidR="00C94FEB" w:rsidRPr="00C94FEB" w:rsidRDefault="00C94FEB" w:rsidP="00C94FEB">
      <w:pPr>
        <w:numPr>
          <w:ilvl w:val="0"/>
          <w:numId w:val="5"/>
        </w:numPr>
      </w:pPr>
      <w:r w:rsidRPr="00C94FEB">
        <w:t>Styrket arbejdsgiverrelation og samfundsansvar</w:t>
      </w:r>
    </w:p>
    <w:p w14:paraId="1B9224B6" w14:textId="77777777" w:rsidR="00C94FEB" w:rsidRPr="00C94FEB" w:rsidRDefault="00C94FEB" w:rsidP="00C94FEB">
      <w:pPr>
        <w:numPr>
          <w:ilvl w:val="0"/>
          <w:numId w:val="5"/>
        </w:numPr>
      </w:pPr>
      <w:r w:rsidRPr="00C94FEB">
        <w:t>Effektiv refusionshjemtagning</w:t>
      </w:r>
    </w:p>
    <w:p w14:paraId="50971144" w14:textId="77777777" w:rsidR="00C94FEB" w:rsidRPr="00C94FEB" w:rsidRDefault="00C94FEB" w:rsidP="00C94FEB">
      <w:pPr>
        <w:numPr>
          <w:ilvl w:val="0"/>
          <w:numId w:val="5"/>
        </w:numPr>
      </w:pPr>
      <w:r w:rsidRPr="00C94FEB">
        <w:t>Færre rehabiliterings- og pensionssager</w:t>
      </w:r>
    </w:p>
    <w:p w14:paraId="4E7E2B8E" w14:textId="77777777" w:rsidR="00C94FEB" w:rsidRPr="00C94FEB" w:rsidRDefault="00000000" w:rsidP="00C94FEB">
      <w:r>
        <w:pict w14:anchorId="0BAB3830">
          <v:rect id="_x0000_i1032" style="width:0;height:1.5pt" o:hralign="center" o:hrstd="t" o:hr="t" fillcolor="#a0a0a0" stroked="f"/>
        </w:pict>
      </w:r>
    </w:p>
    <w:p w14:paraId="1F175E76" w14:textId="77777777" w:rsidR="007A0299" w:rsidRPr="0086234F" w:rsidRDefault="007A0299" w:rsidP="007A0299">
      <w:pPr>
        <w:rPr>
          <w:b/>
          <w:bCs/>
        </w:rPr>
      </w:pPr>
      <w:r w:rsidRPr="0086234F">
        <w:rPr>
          <w:b/>
          <w:bCs/>
        </w:rPr>
        <w:t>Kommunale og samfundsøkonomiske gevinster</w:t>
      </w:r>
    </w:p>
    <w:p w14:paraId="5E8F96BA" w14:textId="77777777" w:rsidR="007A0299" w:rsidRPr="0086234F" w:rsidRDefault="007A0299" w:rsidP="007A0299">
      <w:r w:rsidRPr="0086234F">
        <w:lastRenderedPageBreak/>
        <w:t xml:space="preserve">Udover den direkte refusion opnår kommunen markante </w:t>
      </w:r>
      <w:r w:rsidRPr="0086234F">
        <w:rPr>
          <w:b/>
          <w:bCs/>
        </w:rPr>
        <w:t>langsigtede økonomiske besparelser</w:t>
      </w:r>
      <w:r w:rsidRPr="0086234F">
        <w:t xml:space="preserve"> ved at bevilge støtte tidligt og målrettet. Effekterne dokumenteres i både praksis og analyser fra bl.a. VIVE og Deloitte: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0"/>
        <w:gridCol w:w="5958"/>
      </w:tblGrid>
      <w:tr w:rsidR="007A0299" w:rsidRPr="0086234F" w14:paraId="4B43CC40" w14:textId="77777777" w:rsidTr="00A96C18">
        <w:trPr>
          <w:tblHeader/>
          <w:tblCellSpacing w:w="15" w:type="dxa"/>
        </w:trPr>
        <w:tc>
          <w:tcPr>
            <w:tcW w:w="0" w:type="auto"/>
            <w:vAlign w:val="center"/>
            <w:hideMark/>
          </w:tcPr>
          <w:p w14:paraId="459650CF" w14:textId="77777777" w:rsidR="007A0299" w:rsidRPr="0086234F" w:rsidRDefault="007A0299" w:rsidP="00A96C18">
            <w:pPr>
              <w:rPr>
                <w:b/>
                <w:bCs/>
              </w:rPr>
            </w:pPr>
            <w:r w:rsidRPr="0086234F">
              <w:rPr>
                <w:b/>
                <w:bCs/>
              </w:rPr>
              <w:t>Effekt</w:t>
            </w:r>
          </w:p>
        </w:tc>
        <w:tc>
          <w:tcPr>
            <w:tcW w:w="0" w:type="auto"/>
            <w:vAlign w:val="center"/>
            <w:hideMark/>
          </w:tcPr>
          <w:p w14:paraId="32A6FCFA" w14:textId="77777777" w:rsidR="007A0299" w:rsidRPr="0086234F" w:rsidRDefault="007A0299" w:rsidP="00A96C18">
            <w:pPr>
              <w:rPr>
                <w:b/>
                <w:bCs/>
              </w:rPr>
            </w:pPr>
            <w:r w:rsidRPr="0086234F">
              <w:rPr>
                <w:b/>
                <w:bCs/>
              </w:rPr>
              <w:t>Besparelse</w:t>
            </w:r>
          </w:p>
        </w:tc>
      </w:tr>
      <w:tr w:rsidR="007A0299" w:rsidRPr="0086234F" w14:paraId="4BE6F67F" w14:textId="77777777" w:rsidTr="00A96C18">
        <w:trPr>
          <w:tblCellSpacing w:w="15" w:type="dxa"/>
        </w:trPr>
        <w:tc>
          <w:tcPr>
            <w:tcW w:w="0" w:type="auto"/>
            <w:vAlign w:val="center"/>
            <w:hideMark/>
          </w:tcPr>
          <w:p w14:paraId="02FF8D65" w14:textId="77777777" w:rsidR="007A0299" w:rsidRPr="0086234F" w:rsidRDefault="007A0299" w:rsidP="00A96C18">
            <w:r w:rsidRPr="0086234F">
              <w:rPr>
                <w:b/>
                <w:bCs/>
              </w:rPr>
              <w:t>Undgået sygedagpenge/overførselsudgift</w:t>
            </w:r>
          </w:p>
        </w:tc>
        <w:tc>
          <w:tcPr>
            <w:tcW w:w="0" w:type="auto"/>
            <w:vAlign w:val="center"/>
            <w:hideMark/>
          </w:tcPr>
          <w:p w14:paraId="20DFFC83" w14:textId="77777777" w:rsidR="007A0299" w:rsidRPr="0086234F" w:rsidRDefault="007A0299" w:rsidP="00A96C18">
            <w:r w:rsidRPr="0086234F">
              <w:t>En borger i forsørgelse koster typisk 200.000–350.000 kr. årligt.</w:t>
            </w:r>
          </w:p>
        </w:tc>
      </w:tr>
      <w:tr w:rsidR="007A0299" w:rsidRPr="0086234F" w14:paraId="6C3A7F81" w14:textId="77777777" w:rsidTr="00A96C18">
        <w:trPr>
          <w:tblCellSpacing w:w="15" w:type="dxa"/>
        </w:trPr>
        <w:tc>
          <w:tcPr>
            <w:tcW w:w="0" w:type="auto"/>
            <w:vAlign w:val="center"/>
            <w:hideMark/>
          </w:tcPr>
          <w:p w14:paraId="768B4CDC" w14:textId="77777777" w:rsidR="007A0299" w:rsidRPr="0086234F" w:rsidRDefault="007A0299" w:rsidP="00A96C18">
            <w:r w:rsidRPr="0086234F">
              <w:rPr>
                <w:b/>
                <w:bCs/>
              </w:rPr>
              <w:t>Fastholdelse i job</w:t>
            </w:r>
          </w:p>
        </w:tc>
        <w:tc>
          <w:tcPr>
            <w:tcW w:w="0" w:type="auto"/>
            <w:vAlign w:val="center"/>
            <w:hideMark/>
          </w:tcPr>
          <w:p w14:paraId="5910953F" w14:textId="77777777" w:rsidR="007A0299" w:rsidRPr="0086234F" w:rsidRDefault="007A0299" w:rsidP="00A96C18">
            <w:r w:rsidRPr="0086234F">
              <w:t>Billigere at støtte med hjælpemiddel (fx 20.000–100.000 kr.) end ydelsesforløb.</w:t>
            </w:r>
          </w:p>
        </w:tc>
      </w:tr>
      <w:tr w:rsidR="007A0299" w:rsidRPr="0086234F" w14:paraId="00811B82" w14:textId="77777777" w:rsidTr="00A96C18">
        <w:trPr>
          <w:tblCellSpacing w:w="15" w:type="dxa"/>
        </w:trPr>
        <w:tc>
          <w:tcPr>
            <w:tcW w:w="0" w:type="auto"/>
            <w:vAlign w:val="center"/>
            <w:hideMark/>
          </w:tcPr>
          <w:p w14:paraId="1B3A6E1A" w14:textId="77777777" w:rsidR="007A0299" w:rsidRPr="0086234F" w:rsidRDefault="007A0299" w:rsidP="00A96C18">
            <w:r w:rsidRPr="0086234F">
              <w:rPr>
                <w:b/>
                <w:bCs/>
              </w:rPr>
              <w:t>Øget skatteindtægt</w:t>
            </w:r>
          </w:p>
        </w:tc>
        <w:tc>
          <w:tcPr>
            <w:tcW w:w="0" w:type="auto"/>
            <w:vAlign w:val="center"/>
            <w:hideMark/>
          </w:tcPr>
          <w:p w14:paraId="2B9EA733" w14:textId="4C9C9B09" w:rsidR="007A0299" w:rsidRPr="0086234F" w:rsidRDefault="007A0299" w:rsidP="00A96C18">
            <w:r w:rsidRPr="0086234F">
              <w:t xml:space="preserve">En fuldtidsansat bidrager med </w:t>
            </w:r>
            <w:r w:rsidR="000F1760">
              <w:t xml:space="preserve">(fx </w:t>
            </w:r>
            <w:r w:rsidRPr="0086234F">
              <w:t>50.000</w:t>
            </w:r>
            <w:r w:rsidR="000F1760">
              <w:t xml:space="preserve"> – 100.000</w:t>
            </w:r>
            <w:r w:rsidRPr="0086234F">
              <w:t xml:space="preserve"> kr.</w:t>
            </w:r>
            <w:r w:rsidR="000F1760">
              <w:t>)</w:t>
            </w:r>
            <w:r w:rsidRPr="0086234F">
              <w:t xml:space="preserve"> årligt i skatteindtægter.</w:t>
            </w:r>
          </w:p>
        </w:tc>
      </w:tr>
      <w:tr w:rsidR="007A0299" w:rsidRPr="0086234F" w14:paraId="5F589076" w14:textId="77777777" w:rsidTr="00A96C18">
        <w:trPr>
          <w:tblCellSpacing w:w="15" w:type="dxa"/>
        </w:trPr>
        <w:tc>
          <w:tcPr>
            <w:tcW w:w="0" w:type="auto"/>
            <w:vAlign w:val="center"/>
            <w:hideMark/>
          </w:tcPr>
          <w:p w14:paraId="740904BE" w14:textId="77777777" w:rsidR="007A0299" w:rsidRPr="0086234F" w:rsidRDefault="007A0299" w:rsidP="00A96C18">
            <w:r w:rsidRPr="0086234F">
              <w:rPr>
                <w:b/>
                <w:bCs/>
              </w:rPr>
              <w:t>Forebyggelse af førtidspension</w:t>
            </w:r>
          </w:p>
        </w:tc>
        <w:tc>
          <w:tcPr>
            <w:tcW w:w="0" w:type="auto"/>
            <w:vAlign w:val="center"/>
            <w:hideMark/>
          </w:tcPr>
          <w:p w14:paraId="1907E7E9" w14:textId="77777777" w:rsidR="007A0299" w:rsidRPr="0086234F" w:rsidRDefault="007A0299" w:rsidP="00A96C18">
            <w:r w:rsidRPr="0086234F">
              <w:t>En førtidspensionist koster over 200.000 kr. årligt (livslangt perspektiv).</w:t>
            </w:r>
          </w:p>
        </w:tc>
      </w:tr>
    </w:tbl>
    <w:p w14:paraId="63AAEF42" w14:textId="150CD5C4" w:rsidR="007A0299" w:rsidRPr="0086234F" w:rsidRDefault="007A0299" w:rsidP="007A0299">
      <w:r w:rsidRPr="0086234F">
        <w:rPr>
          <w:b/>
          <w:bCs/>
        </w:rPr>
        <w:t xml:space="preserve">Eksempel (jf. </w:t>
      </w:r>
      <w:r w:rsidR="00FC78C6">
        <w:rPr>
          <w:b/>
          <w:bCs/>
        </w:rPr>
        <w:t>[følsom personlysning slettet]</w:t>
      </w:r>
      <w:r w:rsidRPr="0086234F">
        <w:rPr>
          <w:b/>
          <w:bCs/>
        </w:rPr>
        <w:t>):</w:t>
      </w:r>
      <w:r w:rsidRPr="0086234F">
        <w:br/>
        <w:t xml:space="preserve">Ved bevilling af arbejdsredskabet </w:t>
      </w:r>
      <w:proofErr w:type="spellStart"/>
      <w:r w:rsidRPr="0086234F">
        <w:t>Skelex</w:t>
      </w:r>
      <w:proofErr w:type="spellEnd"/>
      <w:r w:rsidRPr="0086234F">
        <w:t xml:space="preserve"> </w:t>
      </w:r>
      <w:proofErr w:type="spellStart"/>
      <w:r w:rsidRPr="0086234F">
        <w:t>Ironhand</w:t>
      </w:r>
      <w:proofErr w:type="spellEnd"/>
      <w:r w:rsidRPr="0086234F">
        <w:t xml:space="preserve"> Kit til 98.125 kr. spares kommunen (og staten) for potentielle 214.625 kr. over fem år – alene i direkte udgifter til personlig assistance, uden at medregne afledte effekter.</w:t>
      </w:r>
    </w:p>
    <w:p w14:paraId="2FA9A280" w14:textId="77777777" w:rsidR="007A0299" w:rsidRPr="0086234F" w:rsidRDefault="007A0299" w:rsidP="007A0299"/>
    <w:p w14:paraId="19CBD514" w14:textId="2BF8EBC0" w:rsidR="007A0299" w:rsidRPr="0086234F" w:rsidRDefault="007A0299" w:rsidP="007A0299">
      <w:pPr>
        <w:rPr>
          <w:b/>
          <w:bCs/>
        </w:rPr>
      </w:pPr>
      <w:r w:rsidRPr="0086234F">
        <w:rPr>
          <w:b/>
          <w:bCs/>
        </w:rPr>
        <w:t>Strategiske fordele ved bevilling</w:t>
      </w:r>
    </w:p>
    <w:p w14:paraId="3BBA2C2B" w14:textId="77777777" w:rsidR="007A0299" w:rsidRPr="0086234F" w:rsidRDefault="007A0299" w:rsidP="007A0299">
      <w:r w:rsidRPr="0086234F">
        <w:t>Ved at anvende kompensationsloven aktivt og professionelt opnår kommunen:</w:t>
      </w:r>
    </w:p>
    <w:p w14:paraId="703D4788"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Fastholdelse af arbejdskraft</w:t>
      </w:r>
      <w:r w:rsidRPr="0086234F">
        <w:t xml:space="preserve"> med nedsat funktionsevne</w:t>
      </w:r>
    </w:p>
    <w:p w14:paraId="79EE2B68"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Forebyggelse af udstødelse</w:t>
      </w:r>
      <w:r w:rsidRPr="0086234F">
        <w:t xml:space="preserve"> fra arbejdsmarkedet</w:t>
      </w:r>
    </w:p>
    <w:p w14:paraId="4104307D"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Styrket inklusion og socialt ansvar</w:t>
      </w:r>
      <w:r w:rsidRPr="0086234F">
        <w:t xml:space="preserve"> over for borgere med handicap</w:t>
      </w:r>
    </w:p>
    <w:p w14:paraId="58C5010D"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Bedre samarbejde med virksomheder</w:t>
      </w:r>
      <w:r w:rsidRPr="0086234F">
        <w:t>, som oplever kommunen som en aktiv medspiller</w:t>
      </w:r>
    </w:p>
    <w:p w14:paraId="18C6412B"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Mindre pres på forsørgelsessystemet</w:t>
      </w:r>
      <w:r w:rsidRPr="0086234F">
        <w:t>, færre sager i rehabilitering og førtidspensionsspor</w:t>
      </w:r>
    </w:p>
    <w:p w14:paraId="08BEC240" w14:textId="77777777" w:rsidR="007A0299" w:rsidRPr="0086234F" w:rsidRDefault="007A0299" w:rsidP="007A0299">
      <w:pPr>
        <w:numPr>
          <w:ilvl w:val="0"/>
          <w:numId w:val="8"/>
        </w:numPr>
      </w:pPr>
      <w:r w:rsidRPr="0086234F">
        <w:rPr>
          <w:rFonts w:ascii="Segoe UI Emoji" w:hAnsi="Segoe UI Emoji" w:cs="Segoe UI Emoji"/>
        </w:rPr>
        <w:t>✅</w:t>
      </w:r>
      <w:r w:rsidRPr="0086234F">
        <w:t xml:space="preserve"> </w:t>
      </w:r>
      <w:r w:rsidRPr="0086234F">
        <w:rPr>
          <w:b/>
          <w:bCs/>
        </w:rPr>
        <w:t>Attraktiv arbejdsmarkedsprofil</w:t>
      </w:r>
      <w:r w:rsidRPr="0086234F">
        <w:t>, som fremmer diversitet og rekruttering</w:t>
      </w:r>
    </w:p>
    <w:p w14:paraId="192ECA7F" w14:textId="77777777" w:rsidR="007A0299" w:rsidRPr="0086234F" w:rsidRDefault="007A0299" w:rsidP="007A0299"/>
    <w:p w14:paraId="331B3B49" w14:textId="77777777" w:rsidR="007A0299" w:rsidRPr="0086234F" w:rsidRDefault="007A0299" w:rsidP="007A0299">
      <w:pPr>
        <w:rPr>
          <w:b/>
          <w:bCs/>
        </w:rPr>
      </w:pPr>
      <w:r w:rsidRPr="0086234F">
        <w:rPr>
          <w:b/>
          <w:bCs/>
        </w:rPr>
        <w:t>5. Anbefaling</w:t>
      </w:r>
    </w:p>
    <w:p w14:paraId="36BE2E7F" w14:textId="77777777" w:rsidR="007A0299" w:rsidRPr="0086234F" w:rsidRDefault="007A0299" w:rsidP="007A0299">
      <w:r w:rsidRPr="0086234F">
        <w:t>Det anbefales, at Randers Kommune:</w:t>
      </w:r>
    </w:p>
    <w:p w14:paraId="390A82D9" w14:textId="77777777" w:rsidR="007A0299" w:rsidRPr="0086234F" w:rsidRDefault="007A0299" w:rsidP="007A0299">
      <w:pPr>
        <w:numPr>
          <w:ilvl w:val="0"/>
          <w:numId w:val="9"/>
        </w:numPr>
      </w:pPr>
      <w:r w:rsidRPr="0086234F">
        <w:rPr>
          <w:b/>
          <w:bCs/>
        </w:rPr>
        <w:t>Bevarer og styrker nøglepersonfunktionen</w:t>
      </w:r>
      <w:r w:rsidRPr="0086234F">
        <w:t xml:space="preserve"> på området for handicapkompensation – som central garant for korrekt anvendelse og hjemtagning af refusioner.</w:t>
      </w:r>
    </w:p>
    <w:p w14:paraId="634A87F6" w14:textId="77777777" w:rsidR="007A0299" w:rsidRPr="0086234F" w:rsidRDefault="007A0299" w:rsidP="007A0299">
      <w:pPr>
        <w:numPr>
          <w:ilvl w:val="0"/>
          <w:numId w:val="9"/>
        </w:numPr>
      </w:pPr>
      <w:r w:rsidRPr="0086234F">
        <w:rPr>
          <w:b/>
          <w:bCs/>
        </w:rPr>
        <w:t>Anvender bevillingsmulighederne offensivt og strategisk</w:t>
      </w:r>
      <w:r w:rsidRPr="0086234F">
        <w:t>, herunder ved at screene nytilkomne sygemeldte og ledige med mulig funktionsnedsættelse.</w:t>
      </w:r>
    </w:p>
    <w:p w14:paraId="3D4ECCFF" w14:textId="5AE0896D" w:rsidR="007A0299" w:rsidRPr="0086234F" w:rsidRDefault="007A0299" w:rsidP="007A0299">
      <w:pPr>
        <w:numPr>
          <w:ilvl w:val="0"/>
          <w:numId w:val="9"/>
        </w:numPr>
      </w:pPr>
      <w:r w:rsidRPr="0086234F">
        <w:rPr>
          <w:b/>
          <w:bCs/>
        </w:rPr>
        <w:lastRenderedPageBreak/>
        <w:t>Synliggør gevinsterne for politisk ledelse og virksomhedspartnere</w:t>
      </w:r>
      <w:r w:rsidRPr="0086234F">
        <w:t xml:space="preserve">, herunder ved brug af konkrete business cases (fx </w:t>
      </w:r>
      <w:r w:rsidR="00FC78C6">
        <w:t>[følsom personoplysning slettet]</w:t>
      </w:r>
      <w:r w:rsidRPr="0086234F">
        <w:t>).</w:t>
      </w:r>
    </w:p>
    <w:p w14:paraId="131B2A4E" w14:textId="77777777" w:rsidR="007A0299" w:rsidRPr="0086234F" w:rsidRDefault="007A0299" w:rsidP="007A0299">
      <w:pPr>
        <w:numPr>
          <w:ilvl w:val="0"/>
          <w:numId w:val="9"/>
        </w:numPr>
      </w:pPr>
      <w:r w:rsidRPr="0086234F">
        <w:rPr>
          <w:b/>
          <w:bCs/>
        </w:rPr>
        <w:t>Udnytter fuldt ud de statslige refusionsmuligheder</w:t>
      </w:r>
      <w:r w:rsidRPr="0086234F">
        <w:t>, herunder ved opfølgning på korrekt kontering og dokumentation af støttebehov.</w:t>
      </w:r>
    </w:p>
    <w:p w14:paraId="13BB9A33" w14:textId="0BF8864F" w:rsidR="007A0299" w:rsidRPr="0063029B" w:rsidRDefault="0063029B" w:rsidP="00C94FEB">
      <w:r w:rsidRPr="0063029B">
        <w:t xml:space="preserve">Denne funktion sikrer, at kommunen kan tilbyde </w:t>
      </w:r>
      <w:r w:rsidRPr="0063029B">
        <w:rPr>
          <w:b/>
          <w:bCs/>
        </w:rPr>
        <w:t>en helhedsorienteret, rettidighed baseret og fagligt funderet indsats</w:t>
      </w:r>
      <w:r>
        <w:t xml:space="preserve">, der skaber reel forskel for borgerne med handicap - både i forhold til at </w:t>
      </w:r>
      <w:r w:rsidRPr="0063029B">
        <w:rPr>
          <w:b/>
          <w:bCs/>
        </w:rPr>
        <w:t>komme i arbejde</w:t>
      </w:r>
      <w:r>
        <w:t xml:space="preserve"> og til at </w:t>
      </w:r>
      <w:r w:rsidRPr="0063029B">
        <w:rPr>
          <w:b/>
          <w:bCs/>
        </w:rPr>
        <w:t>fastholde deres tilknytning til arbejdsmarkedet</w:t>
      </w:r>
      <w:r>
        <w:t xml:space="preserve">, ikke alene som faglig og social prioritet men som </w:t>
      </w:r>
      <w:r w:rsidRPr="0063029B">
        <w:rPr>
          <w:b/>
          <w:bCs/>
        </w:rPr>
        <w:t>strategisk økonomisk investering</w:t>
      </w:r>
      <w:r>
        <w:rPr>
          <w:b/>
          <w:bCs/>
        </w:rPr>
        <w:t>.</w:t>
      </w:r>
    </w:p>
    <w:p w14:paraId="46743A7B" w14:textId="77777777" w:rsidR="0063029B" w:rsidRDefault="0063029B" w:rsidP="00C94FEB">
      <w:pPr>
        <w:rPr>
          <w:b/>
          <w:bCs/>
        </w:rPr>
      </w:pPr>
    </w:p>
    <w:p w14:paraId="07932F7C" w14:textId="4DA1778D" w:rsidR="00C94FEB" w:rsidRDefault="00C94FEB" w:rsidP="00C94FEB">
      <w:r w:rsidRPr="00C94FEB">
        <w:rPr>
          <w:b/>
          <w:bCs/>
        </w:rPr>
        <w:t>Konklusion:</w:t>
      </w:r>
      <w:r w:rsidRPr="00C94FEB">
        <w:br/>
        <w:t>Nøglepersonfunktionen er en uundværlig brik i Randers Kommunes samlede strategi for inklusion, effektiv forvaltning og økonomisk bæredygtighed. Med sin kombination af specialiseret viden, tværgående koordinering og myndighedsforståelse udgør funktionen et centralt værktøj i realiseringen af et inkluderende arbejdsmarked med lavere offentlige udgifter og højere social kapital.</w:t>
      </w:r>
    </w:p>
    <w:p w14:paraId="2DAE9204" w14:textId="77777777" w:rsidR="007A0299" w:rsidRPr="00D83C72" w:rsidRDefault="007A0299" w:rsidP="007A0299">
      <w:r w:rsidRPr="00D83C72">
        <w:rPr>
          <w:b/>
          <w:bCs/>
        </w:rPr>
        <w:t>Bilag (kan vedlægges):</w:t>
      </w:r>
    </w:p>
    <w:p w14:paraId="1D246D7C" w14:textId="77777777" w:rsidR="007A0299" w:rsidRPr="00D83C72" w:rsidRDefault="007A0299" w:rsidP="007A0299">
      <w:pPr>
        <w:numPr>
          <w:ilvl w:val="0"/>
          <w:numId w:val="10"/>
        </w:numPr>
      </w:pPr>
      <w:r w:rsidRPr="00D83C72">
        <w:t>Lov om kompensation til handicappede i erhverv m.v., LBK nr. 727 af 7/6/2023</w:t>
      </w:r>
    </w:p>
    <w:p w14:paraId="1988F335" w14:textId="77777777" w:rsidR="007A0299" w:rsidRPr="00D83C72" w:rsidRDefault="007A0299" w:rsidP="007A0299">
      <w:pPr>
        <w:numPr>
          <w:ilvl w:val="0"/>
          <w:numId w:val="10"/>
        </w:numPr>
      </w:pPr>
      <w:r w:rsidRPr="00D83C72">
        <w:t>Vejledning til loven fra Styrelsen for Arbejdsmarked og Rekruttering</w:t>
      </w:r>
    </w:p>
    <w:p w14:paraId="35E704D5" w14:textId="77777777" w:rsidR="007A0299" w:rsidRPr="00D83C72" w:rsidRDefault="007A0299" w:rsidP="007A0299">
      <w:pPr>
        <w:numPr>
          <w:ilvl w:val="0"/>
          <w:numId w:val="10"/>
        </w:numPr>
      </w:pPr>
      <w:r w:rsidRPr="00D83C72">
        <w:t>Refusionsbekendtgørelsen og gældende administrative retningslinjer</w:t>
      </w:r>
    </w:p>
    <w:p w14:paraId="3BE369B4" w14:textId="77777777" w:rsidR="007A0299" w:rsidRDefault="007A0299" w:rsidP="007A0299">
      <w:pPr>
        <w:rPr>
          <w:b/>
          <w:bCs/>
        </w:rPr>
      </w:pPr>
    </w:p>
    <w:p w14:paraId="571C8F66" w14:textId="4C6E3B3D" w:rsidR="007A0299" w:rsidRPr="0086234F" w:rsidRDefault="007A0299" w:rsidP="007A0299">
      <w:r w:rsidRPr="007A0299">
        <w:rPr>
          <w:b/>
          <w:bCs/>
        </w:rPr>
        <w:t>Med venlig hilsen</w:t>
      </w:r>
      <w:r w:rsidRPr="0086234F">
        <w:br/>
      </w:r>
      <w:r w:rsidRPr="007A0299">
        <w:rPr>
          <w:i/>
          <w:iCs/>
        </w:rPr>
        <w:t>Dan Sonne Hansen</w:t>
      </w:r>
      <w:r w:rsidRPr="0086234F">
        <w:br/>
        <w:t>Nøgleperson / Handicapkonsulent</w:t>
      </w:r>
      <w:r w:rsidRPr="0086234F">
        <w:br/>
        <w:t>Jobcenter Randers</w:t>
      </w:r>
      <w:r w:rsidRPr="0086234F">
        <w:br/>
        <w:t>Randers Kommune</w:t>
      </w:r>
    </w:p>
    <w:p w14:paraId="649B1CD9" w14:textId="77777777" w:rsidR="007A0299" w:rsidRPr="00C94FEB" w:rsidRDefault="007A0299" w:rsidP="00C94FEB"/>
    <w:p w14:paraId="1DB3B261" w14:textId="77777777" w:rsidR="00B065E4" w:rsidRPr="00B065E4" w:rsidRDefault="00B065E4" w:rsidP="00B065E4"/>
    <w:sectPr w:rsidR="00B065E4" w:rsidRPr="00B065E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AAD3" w14:textId="77777777" w:rsidR="00981C5E" w:rsidRDefault="00981C5E" w:rsidP="000F1760">
      <w:pPr>
        <w:spacing w:after="0" w:line="240" w:lineRule="auto"/>
      </w:pPr>
      <w:r>
        <w:separator/>
      </w:r>
    </w:p>
  </w:endnote>
  <w:endnote w:type="continuationSeparator" w:id="0">
    <w:p w14:paraId="63787281" w14:textId="77777777" w:rsidR="00981C5E" w:rsidRDefault="00981C5E" w:rsidP="000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15619"/>
      <w:docPartObj>
        <w:docPartGallery w:val="Page Numbers (Bottom of Page)"/>
        <w:docPartUnique/>
      </w:docPartObj>
    </w:sdtPr>
    <w:sdtContent>
      <w:p w14:paraId="6C19DABB" w14:textId="725D30E3" w:rsidR="000F1760" w:rsidRDefault="000F1760">
        <w:pPr>
          <w:pStyle w:val="Sidefod"/>
          <w:jc w:val="right"/>
        </w:pPr>
        <w:r>
          <w:fldChar w:fldCharType="begin"/>
        </w:r>
        <w:r>
          <w:instrText>PAGE   \* MERGEFORMAT</w:instrText>
        </w:r>
        <w:r>
          <w:fldChar w:fldCharType="separate"/>
        </w:r>
        <w:r>
          <w:t>2</w:t>
        </w:r>
        <w:r>
          <w:fldChar w:fldCharType="end"/>
        </w:r>
      </w:p>
    </w:sdtContent>
  </w:sdt>
  <w:p w14:paraId="562ED268" w14:textId="77777777" w:rsidR="000F1760" w:rsidRDefault="000F176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4D71" w14:textId="77777777" w:rsidR="00981C5E" w:rsidRDefault="00981C5E" w:rsidP="000F1760">
      <w:pPr>
        <w:spacing w:after="0" w:line="240" w:lineRule="auto"/>
      </w:pPr>
      <w:r>
        <w:separator/>
      </w:r>
    </w:p>
  </w:footnote>
  <w:footnote w:type="continuationSeparator" w:id="0">
    <w:p w14:paraId="3EE002CC" w14:textId="77777777" w:rsidR="00981C5E" w:rsidRDefault="00981C5E" w:rsidP="000F1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6B66"/>
    <w:multiLevelType w:val="multilevel"/>
    <w:tmpl w:val="CC74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D0243"/>
    <w:multiLevelType w:val="multilevel"/>
    <w:tmpl w:val="EA4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E0838"/>
    <w:multiLevelType w:val="multilevel"/>
    <w:tmpl w:val="1AA6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51755CB"/>
    <w:multiLevelType w:val="multilevel"/>
    <w:tmpl w:val="4D1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61872"/>
    <w:multiLevelType w:val="multilevel"/>
    <w:tmpl w:val="01A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00954"/>
    <w:multiLevelType w:val="multilevel"/>
    <w:tmpl w:val="03D6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4767CD"/>
    <w:multiLevelType w:val="multilevel"/>
    <w:tmpl w:val="EB4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4273E"/>
    <w:multiLevelType w:val="multilevel"/>
    <w:tmpl w:val="77E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157167">
    <w:abstractNumId w:val="7"/>
  </w:num>
  <w:num w:numId="2" w16cid:durableId="1067729574">
    <w:abstractNumId w:val="3"/>
  </w:num>
  <w:num w:numId="3" w16cid:durableId="1791437322">
    <w:abstractNumId w:val="5"/>
  </w:num>
  <w:num w:numId="4" w16cid:durableId="798107253">
    <w:abstractNumId w:val="8"/>
  </w:num>
  <w:num w:numId="5" w16cid:durableId="1663895329">
    <w:abstractNumId w:val="9"/>
  </w:num>
  <w:num w:numId="6" w16cid:durableId="1479495633">
    <w:abstractNumId w:val="1"/>
  </w:num>
  <w:num w:numId="7" w16cid:durableId="1495223090">
    <w:abstractNumId w:val="2"/>
  </w:num>
  <w:num w:numId="8" w16cid:durableId="1491754761">
    <w:abstractNumId w:val="6"/>
  </w:num>
  <w:num w:numId="9" w16cid:durableId="2083940066">
    <w:abstractNumId w:val="0"/>
  </w:num>
  <w:num w:numId="10" w16cid:durableId="134528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B"/>
    <w:rsid w:val="00000197"/>
    <w:rsid w:val="00026A2F"/>
    <w:rsid w:val="00054019"/>
    <w:rsid w:val="000709EE"/>
    <w:rsid w:val="000936E1"/>
    <w:rsid w:val="000D2EDD"/>
    <w:rsid w:val="000F1719"/>
    <w:rsid w:val="000F1760"/>
    <w:rsid w:val="001055B3"/>
    <w:rsid w:val="0017025C"/>
    <w:rsid w:val="001C3517"/>
    <w:rsid w:val="00220F62"/>
    <w:rsid w:val="00231828"/>
    <w:rsid w:val="00243D7F"/>
    <w:rsid w:val="002514C0"/>
    <w:rsid w:val="00275D09"/>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C2558"/>
    <w:rsid w:val="004E20F1"/>
    <w:rsid w:val="005134C4"/>
    <w:rsid w:val="00543D6F"/>
    <w:rsid w:val="00544B2B"/>
    <w:rsid w:val="00561775"/>
    <w:rsid w:val="005914A8"/>
    <w:rsid w:val="00597CC9"/>
    <w:rsid w:val="005C4D25"/>
    <w:rsid w:val="005C4EC2"/>
    <w:rsid w:val="005C5B17"/>
    <w:rsid w:val="005E7C80"/>
    <w:rsid w:val="00603994"/>
    <w:rsid w:val="00610B7C"/>
    <w:rsid w:val="0063029B"/>
    <w:rsid w:val="006378A5"/>
    <w:rsid w:val="00666F95"/>
    <w:rsid w:val="00667645"/>
    <w:rsid w:val="006A4619"/>
    <w:rsid w:val="006F5B38"/>
    <w:rsid w:val="00701696"/>
    <w:rsid w:val="00773E87"/>
    <w:rsid w:val="00787009"/>
    <w:rsid w:val="007A0299"/>
    <w:rsid w:val="007C4F2F"/>
    <w:rsid w:val="007F1645"/>
    <w:rsid w:val="00802086"/>
    <w:rsid w:val="008731AA"/>
    <w:rsid w:val="00884868"/>
    <w:rsid w:val="008E5007"/>
    <w:rsid w:val="009016E6"/>
    <w:rsid w:val="00910A72"/>
    <w:rsid w:val="00914DB1"/>
    <w:rsid w:val="00975907"/>
    <w:rsid w:val="00981C5E"/>
    <w:rsid w:val="009B24FF"/>
    <w:rsid w:val="009C19D6"/>
    <w:rsid w:val="00A26A87"/>
    <w:rsid w:val="00A9527D"/>
    <w:rsid w:val="00A96958"/>
    <w:rsid w:val="00AC0E67"/>
    <w:rsid w:val="00B065E4"/>
    <w:rsid w:val="00B2455F"/>
    <w:rsid w:val="00B257DC"/>
    <w:rsid w:val="00B40E3E"/>
    <w:rsid w:val="00B6387C"/>
    <w:rsid w:val="00C15955"/>
    <w:rsid w:val="00C20C48"/>
    <w:rsid w:val="00C94FEB"/>
    <w:rsid w:val="00C95685"/>
    <w:rsid w:val="00CC73C6"/>
    <w:rsid w:val="00CF3959"/>
    <w:rsid w:val="00D35B1D"/>
    <w:rsid w:val="00D5554B"/>
    <w:rsid w:val="00D8092E"/>
    <w:rsid w:val="00DA043B"/>
    <w:rsid w:val="00DE02E4"/>
    <w:rsid w:val="00DF25A6"/>
    <w:rsid w:val="00E10A47"/>
    <w:rsid w:val="00E9551B"/>
    <w:rsid w:val="00E96DE6"/>
    <w:rsid w:val="00EA4F7F"/>
    <w:rsid w:val="00ED253D"/>
    <w:rsid w:val="00FC08CF"/>
    <w:rsid w:val="00FC78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438"/>
  <w15:chartTrackingRefBased/>
  <w15:docId w15:val="{608C915D-66A2-4D5C-8420-551428F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0F17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1760"/>
  </w:style>
  <w:style w:type="paragraph" w:styleId="Sidefod">
    <w:name w:val="footer"/>
    <w:basedOn w:val="Normal"/>
    <w:link w:val="SidefodTegn"/>
    <w:uiPriority w:val="99"/>
    <w:unhideWhenUsed/>
    <w:rsid w:val="000F17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18920">
      <w:bodyDiv w:val="1"/>
      <w:marLeft w:val="0"/>
      <w:marRight w:val="0"/>
      <w:marTop w:val="0"/>
      <w:marBottom w:val="0"/>
      <w:divBdr>
        <w:top w:val="none" w:sz="0" w:space="0" w:color="auto"/>
        <w:left w:val="none" w:sz="0" w:space="0" w:color="auto"/>
        <w:bottom w:val="none" w:sz="0" w:space="0" w:color="auto"/>
        <w:right w:val="none" w:sz="0" w:space="0" w:color="auto"/>
      </w:divBdr>
    </w:div>
    <w:div w:id="1176655493">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1405</Words>
  <Characters>9618</Characters>
  <Application>Microsoft Office Word</Application>
  <DocSecurity>0</DocSecurity>
  <Lines>234</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Sonne Hansen</dc:creator>
  <cp:keywords/>
  <dc:description/>
  <cp:lastModifiedBy>Anne Erlandsen</cp:lastModifiedBy>
  <cp:revision>2</cp:revision>
  <cp:lastPrinted>2025-06-05T07:48:00Z</cp:lastPrinted>
  <dcterms:created xsi:type="dcterms:W3CDTF">2025-06-10T14:03:00Z</dcterms:created>
  <dcterms:modified xsi:type="dcterms:W3CDTF">2025-06-10T14:03:00Z</dcterms:modified>
</cp:coreProperties>
</file>